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eastAsia" w:ascii="FZDXBS--GBK1-0" w:hAnsi="FZDXBS--GBK1-0"/>
          <w:color w:val="000000"/>
          <w:sz w:val="36"/>
          <w:szCs w:val="36"/>
        </w:rPr>
      </w:pPr>
      <w:bookmarkStart w:id="0" w:name="_Toc23037"/>
    </w:p>
    <w:p>
      <w:pPr>
        <w:jc w:val="center"/>
        <w:rPr>
          <w:b/>
          <w:bCs/>
          <w:sz w:val="52"/>
          <w:szCs w:val="52"/>
        </w:rPr>
      </w:pPr>
      <w:bookmarkStart w:id="1" w:name="_Toc2068541"/>
      <w:r>
        <w:rPr>
          <w:rFonts w:hint="eastAsia"/>
          <w:b/>
          <w:bCs/>
          <w:sz w:val="52"/>
          <w:szCs w:val="52"/>
        </w:rPr>
        <w:t>四川省乐山市第一职业高级中学</w:t>
      </w:r>
    </w:p>
    <w:p>
      <w:pPr>
        <w:pStyle w:val="2"/>
        <w:spacing w:line="600" w:lineRule="auto"/>
        <w:jc w:val="center"/>
        <w:rPr>
          <w:rFonts w:hint="eastAsia"/>
          <w:b w:val="0"/>
          <w:sz w:val="44"/>
          <w:szCs w:val="44"/>
          <w:lang w:val="en-US" w:eastAsia="zh-CN"/>
        </w:rPr>
      </w:pPr>
    </w:p>
    <w:p>
      <w:pPr>
        <w:pStyle w:val="2"/>
        <w:spacing w:line="600" w:lineRule="auto"/>
        <w:jc w:val="center"/>
        <w:rPr>
          <w:rFonts w:hint="eastAsia"/>
          <w:b w:val="0"/>
          <w:sz w:val="52"/>
          <w:szCs w:val="52"/>
          <w:lang w:val="en-US" w:eastAsia="zh-CN"/>
        </w:rPr>
      </w:pPr>
      <w:r>
        <w:rPr>
          <w:rFonts w:hint="eastAsia"/>
          <w:b w:val="0"/>
          <w:sz w:val="52"/>
          <w:szCs w:val="52"/>
          <w:lang w:val="en-US" w:eastAsia="zh-CN"/>
        </w:rPr>
        <w:t>财经商贸类</w:t>
      </w:r>
    </w:p>
    <w:p>
      <w:pPr>
        <w:rPr>
          <w:rFonts w:hint="eastAsia"/>
          <w:b w:val="0"/>
          <w:sz w:val="44"/>
          <w:szCs w:val="44"/>
          <w:lang w:val="en-US" w:eastAsia="zh-CN"/>
        </w:rPr>
      </w:pPr>
    </w:p>
    <w:p>
      <w:pPr>
        <w:rPr>
          <w:rFonts w:hint="eastAsia"/>
          <w:b w:val="0"/>
          <w:sz w:val="44"/>
          <w:szCs w:val="44"/>
          <w:lang w:val="en-US" w:eastAsia="zh-CN"/>
        </w:rPr>
      </w:pPr>
    </w:p>
    <w:p>
      <w:pPr>
        <w:rPr>
          <w:rFonts w:hint="eastAsia"/>
          <w:b w:val="0"/>
          <w:sz w:val="44"/>
          <w:szCs w:val="44"/>
          <w:lang w:val="en-US" w:eastAsia="zh-CN"/>
        </w:rPr>
      </w:pPr>
    </w:p>
    <w:p>
      <w:pPr>
        <w:pStyle w:val="2"/>
        <w:spacing w:line="720" w:lineRule="auto"/>
        <w:jc w:val="center"/>
        <w:rPr>
          <w:rFonts w:hint="eastAsia"/>
          <w:b w:val="0"/>
          <w:sz w:val="72"/>
          <w:szCs w:val="72"/>
          <w:lang w:val="en-US" w:eastAsia="zh-CN"/>
        </w:rPr>
      </w:pPr>
      <w:r>
        <w:rPr>
          <w:rFonts w:hint="eastAsia"/>
          <w:b w:val="0"/>
          <w:sz w:val="72"/>
          <w:szCs w:val="72"/>
          <w:lang w:val="en-US" w:eastAsia="zh-CN"/>
        </w:rPr>
        <w:t>《电子商务》</w:t>
      </w:r>
    </w:p>
    <w:p>
      <w:pPr>
        <w:rPr>
          <w:rFonts w:hint="eastAsia"/>
          <w:lang w:val="en-US" w:eastAsia="zh-CN"/>
        </w:rPr>
      </w:pPr>
    </w:p>
    <w:p>
      <w:pPr>
        <w:pStyle w:val="2"/>
        <w:spacing w:line="720" w:lineRule="auto"/>
        <w:jc w:val="center"/>
        <w:rPr>
          <w:sz w:val="72"/>
          <w:szCs w:val="72"/>
        </w:rPr>
      </w:pPr>
      <w:r>
        <w:rPr>
          <w:rFonts w:hint="eastAsia" w:ascii="黑体" w:hAnsi="黑体" w:eastAsia="黑体"/>
          <w:b w:val="0"/>
          <w:sz w:val="72"/>
          <w:szCs w:val="72"/>
        </w:rPr>
        <w:t>人才培养方案</w:t>
      </w:r>
      <w:bookmarkEnd w:id="1"/>
    </w:p>
    <w:p>
      <w:pPr>
        <w:spacing w:after="0" w:line="720" w:lineRule="auto"/>
        <w:rPr>
          <w:rFonts w:hint="eastAsia" w:ascii="FZDXBS--GBK1-0" w:hAnsi="FZDXBS--GBK1-0"/>
          <w:color w:val="000000"/>
          <w:sz w:val="44"/>
          <w:szCs w:val="44"/>
        </w:rPr>
      </w:pPr>
    </w:p>
    <w:p>
      <w:pPr>
        <w:spacing w:after="0" w:line="240" w:lineRule="auto"/>
        <w:rPr>
          <w:rFonts w:hint="eastAsia" w:ascii="FZDXBS--GBK1-0" w:hAnsi="FZDXBS--GBK1-0"/>
          <w:color w:val="000000"/>
          <w:sz w:val="36"/>
          <w:szCs w:val="36"/>
        </w:rPr>
      </w:pPr>
    </w:p>
    <w:p>
      <w:pPr>
        <w:spacing w:after="0" w:line="240" w:lineRule="auto"/>
        <w:rPr>
          <w:rFonts w:hint="eastAsia" w:ascii="FZDXBS--GBK1-0" w:hAnsi="FZDXBS--GBK1-0"/>
          <w:color w:val="000000"/>
          <w:sz w:val="36"/>
          <w:szCs w:val="36"/>
        </w:rPr>
      </w:pPr>
    </w:p>
    <w:p>
      <w:pPr>
        <w:spacing w:after="0"/>
        <w:ind w:firstLine="1699" w:firstLineChars="531"/>
        <w:rPr>
          <w:rFonts w:hint="eastAsia" w:ascii="黑体" w:hAnsi="黑体" w:eastAsia="黑体" w:cs="黑体"/>
          <w:sz w:val="32"/>
          <w:szCs w:val="32"/>
          <w:u w:val="single"/>
        </w:rPr>
      </w:pPr>
    </w:p>
    <w:p>
      <w:pPr>
        <w:spacing w:after="0"/>
        <w:ind w:firstLine="1699" w:firstLineChars="531"/>
        <w:rPr>
          <w:rFonts w:hint="eastAsia" w:ascii="黑体" w:hAnsi="黑体" w:eastAsia="黑体" w:cs="黑体"/>
          <w:sz w:val="32"/>
          <w:szCs w:val="32"/>
          <w:u w:val="single"/>
        </w:rPr>
      </w:pPr>
    </w:p>
    <w:p>
      <w:pPr>
        <w:spacing w:after="0"/>
        <w:ind w:firstLine="1699" w:firstLineChars="531"/>
        <w:rPr>
          <w:rFonts w:hint="eastAsia" w:ascii="黑体" w:hAnsi="黑体" w:eastAsia="黑体" w:cs="黑体"/>
          <w:sz w:val="32"/>
          <w:szCs w:val="32"/>
          <w:u w:val="single"/>
        </w:rPr>
      </w:pPr>
    </w:p>
    <w:p>
      <w:pPr>
        <w:spacing w:after="0"/>
        <w:rPr>
          <w:rFonts w:ascii="Times New Roman" w:hAnsi="Times New Roman" w:eastAsia="Times New Roman" w:cs="Times New Roman"/>
          <w:sz w:val="20"/>
          <w:szCs w:val="20"/>
        </w:rPr>
      </w:pPr>
    </w:p>
    <w:p>
      <w:pPr>
        <w:spacing w:before="0" w:line="240" w:lineRule="auto"/>
        <w:jc w:val="both"/>
        <w:rPr>
          <w:rFonts w:ascii="Times New Roman" w:hAnsi="Times New Roman" w:eastAsia="Times New Roman" w:cs="Times New Roman"/>
          <w:sz w:val="20"/>
          <w:szCs w:val="20"/>
        </w:rPr>
      </w:pPr>
    </w:p>
    <w:p>
      <w:pPr>
        <w:spacing w:before="0" w:line="240" w:lineRule="auto"/>
        <w:jc w:val="both"/>
        <w:rPr>
          <w:rFonts w:hint="default" w:ascii="Times New Roman" w:hAnsi="Times New Roman" w:eastAsia="Times New Roman" w:cs="Times New Roman"/>
          <w:sz w:val="36"/>
          <w:szCs w:val="36"/>
          <w:lang w:val="en-US"/>
        </w:rPr>
      </w:pPr>
      <w:r>
        <w:rPr>
          <w:rFonts w:hint="eastAsia" w:ascii="Times New Roman" w:hAnsi="Times New Roman" w:eastAsia="宋体" w:cs="Times New Roman"/>
          <w:sz w:val="20"/>
          <w:szCs w:val="20"/>
          <w:lang w:val="en-US" w:eastAsia="zh-CN"/>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36"/>
          <w:szCs w:val="36"/>
          <w:lang w:val="en-US" w:eastAsia="zh-CN"/>
        </w:rPr>
        <w:t>编制时间：2024年6月</w:t>
      </w:r>
    </w:p>
    <w:p>
      <w:pPr>
        <w:spacing w:before="0" w:line="240" w:lineRule="auto"/>
        <w:jc w:val="both"/>
        <w:rPr>
          <w:rFonts w:ascii="Times New Roman" w:hAnsi="Times New Roman" w:eastAsia="Times New Roman" w:cs="Times New Roman"/>
          <w:sz w:val="20"/>
          <w:szCs w:val="20"/>
        </w:rPr>
      </w:pPr>
    </w:p>
    <w:sdt>
      <w:sdtPr>
        <w:rPr>
          <w:rFonts w:ascii="宋体" w:hAnsi="宋体" w:eastAsia="宋体" w:cstheme="minorBidi"/>
          <w:b/>
          <w:bCs/>
          <w:sz w:val="32"/>
          <w:szCs w:val="36"/>
          <w:lang w:val="en-US" w:eastAsia="en-US" w:bidi="ar-SA"/>
        </w:rPr>
        <w:id w:val="147458530"/>
        <w15:color w:val="DBDBDB"/>
        <w:docPartObj>
          <w:docPartGallery w:val="Table of Contents"/>
          <w:docPartUnique/>
        </w:docPartObj>
      </w:sdtPr>
      <w:sdtEndPr>
        <w:rPr>
          <w:rFonts w:ascii="宋体" w:hAnsi="宋体" w:eastAsia="宋体" w:cstheme="minorBidi"/>
          <w:b/>
          <w:bCs/>
          <w:sz w:val="32"/>
          <w:szCs w:val="36"/>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36"/>
              <w:szCs w:val="36"/>
            </w:rPr>
          </w:pPr>
          <w:r>
            <w:rPr>
              <w:rFonts w:hint="default" w:ascii="Times New Roman" w:hAnsi="Times New Roman" w:eastAsia="宋体" w:cs="Times New Roman"/>
              <w:b/>
              <w:bCs/>
              <w:sz w:val="32"/>
              <w:szCs w:val="36"/>
            </w:rPr>
            <w:t>目</w:t>
          </w:r>
          <w:r>
            <w:rPr>
              <w:rFonts w:hint="default" w:ascii="Times New Roman" w:hAnsi="Times New Roman" w:eastAsia="宋体" w:cs="Times New Roman"/>
              <w:b/>
              <w:bCs/>
              <w:sz w:val="32"/>
              <w:szCs w:val="36"/>
              <w:lang w:val="en-US" w:eastAsia="zh-CN"/>
            </w:rPr>
            <w:t xml:space="preserve">  </w:t>
          </w:r>
          <w:r>
            <w:rPr>
              <w:rFonts w:hint="default" w:ascii="Times New Roman" w:hAnsi="Times New Roman" w:eastAsia="宋体" w:cs="Times New Roman"/>
              <w:b/>
              <w:bCs/>
              <w:sz w:val="32"/>
              <w:szCs w:val="36"/>
            </w:rPr>
            <w:t>录</w:t>
          </w:r>
        </w:p>
        <w:p>
          <w:pPr>
            <w:pStyle w:val="15"/>
            <w:tabs>
              <w:tab w:val="right" w:leader="dot" w:pos="8306"/>
            </w:tabs>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TOC \o "1-3" \h \u </w:instrText>
          </w:r>
          <w:r>
            <w:rPr>
              <w:rFonts w:hint="default" w:ascii="Times New Roman" w:hAnsi="Times New Roman" w:cs="Times New Roman"/>
              <w:b w:val="0"/>
              <w:bCs w:val="0"/>
            </w:rPr>
            <w:fldChar w:fldCharType="separate"/>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_Toc12915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一、专业名称及代码</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_Toc12915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_Toc13369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二、入学要求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_Toc13369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_Toc19778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三、修业年限</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_Toc19778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_Toc23244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四、职业面向</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_Toc23244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_Toc19758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五、培养目标与培养规格</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_Toc19758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_Toc30257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（一）培养目标</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_Toc30257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_Toc18208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（二）培养规格</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_Toc18208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firstLine="40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_Toc19232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1.知识目标</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_Toc19232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firstLine="40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_Toc2734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2.能力目标</w:t>
          </w:r>
          <w:bookmarkStart w:id="83" w:name="_GoBack"/>
          <w:bookmarkEnd w:id="83"/>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_Toc2734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firstLine="400" w:firstLineChars="2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_Toc6537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3.素养目标</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_Toc6537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_Toc13272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六、课程设置及要求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_Toc13272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_Toc11104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rPr>
            <w:t>（一）公共基础课</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_Toc11104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_Toc29445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lang w:val="en-US" w:eastAsia="zh-CN"/>
            </w:rPr>
            <w:t>（二）</w:t>
          </w:r>
          <w:r>
            <w:rPr>
              <w:rFonts w:hint="default" w:ascii="Times New Roman" w:hAnsi="Times New Roman" w:eastAsia="宋体" w:cs="Times New Roman"/>
              <w:b w:val="0"/>
              <w:bCs w:val="0"/>
              <w:szCs w:val="30"/>
              <w:lang w:val="en-US" w:eastAsia="en-US"/>
            </w:rPr>
            <w:t>专业（技能）课</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_Toc29445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_Toc1891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七、教学进程总体安排</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_Toc1891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_Toc17256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rPr>
            <w:t>（一）</w:t>
          </w:r>
          <w:r>
            <w:rPr>
              <w:rFonts w:hint="default" w:ascii="Times New Roman" w:hAnsi="Times New Roman" w:eastAsia="宋体" w:cs="Times New Roman"/>
              <w:b w:val="0"/>
              <w:bCs w:val="0"/>
            </w:rPr>
            <w:t>课程设置表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_Toc17256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_Toc16715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lang w:val="en-US" w:eastAsia="zh-CN"/>
            </w:rPr>
            <w:t>（二）</w:t>
          </w:r>
          <w:r>
            <w:rPr>
              <w:rFonts w:hint="default" w:ascii="Times New Roman" w:hAnsi="Times New Roman" w:eastAsia="宋体" w:cs="Times New Roman"/>
              <w:b w:val="0"/>
              <w:bCs w:val="0"/>
            </w:rPr>
            <w:t>教学实践安排</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_Toc16715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_Toc30523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八、 实施保障</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_Toc30523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_Toc13907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（一）师资队伍</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_Toc13907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left="0" w:leftChars="0" w:firstLine="1000" w:firstLineChars="5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_Toc18244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zCs w:val="30"/>
            </w:rPr>
            <w:t>1.队伍结构</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_Toc18244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_Toc5877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2.专任教师</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_Toc5877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_Toc6343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3.兼职教师</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_Toc6343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_Toc5967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（二）教学设施</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_Toc5967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_Toc10981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1.校内实训室</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_Toc10981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16</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_Toc4969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zh-CN"/>
            </w:rPr>
            <w:t>2.</w:t>
          </w:r>
          <w:r>
            <w:rPr>
              <w:rFonts w:hint="default" w:ascii="Times New Roman" w:hAnsi="Times New Roman" w:eastAsia="宋体" w:cs="Times New Roman"/>
              <w:b w:val="0"/>
              <w:bCs w:val="0"/>
              <w:spacing w:val="-1"/>
              <w:lang w:val="en-US" w:eastAsia="en-US"/>
            </w:rPr>
            <w:t>校外实训实习基地</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_Toc4969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_Toc31933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（三）教学资源</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_Toc31933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7"/>
            <w:tabs>
              <w:tab w:val="right" w:leader="dot" w:pos="8306"/>
            </w:tabs>
            <w:ind w:left="0" w:leftChars="0" w:firstLine="1000" w:firstLineChars="5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_Toc22701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szCs w:val="28"/>
            </w:rPr>
            <w:t>1.教材选用及使用要求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_Toc22701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_Toc21360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2.图书资料配备要求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_Toc21360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600" w:firstLineChars="3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_Toc11326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3. 数字资源配备要求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_Toc11326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_Toc24422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rPr>
            <w:t>（四）教学方法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_Toc24422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_Toc30538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（五）学习评价</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_Toc30538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_Toc845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（六）质量管理</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_Toc845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_Toc21658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lang w:val="en-US" w:eastAsia="en-US"/>
            </w:rPr>
            <w:t>九、 毕业要求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_Toc21658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_Toc26693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（一）可选考的证书</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_Toc26693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_Toc30109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（二）学业达标要求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_Toc30109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_Toc21864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十、附录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_Toc21864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eastAsia="宋体"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_Toc4338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（一）附件1：专业教学进程安排表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_Toc4338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pPr>
            <w:pStyle w:val="16"/>
            <w:tabs>
              <w:tab w:val="right" w:leader="dot" w:pos="8306"/>
            </w:tabs>
            <w:ind w:firstLine="200" w:firstLineChars="100"/>
            <w:rPr>
              <w:rFonts w:hint="default" w:ascii="Times New Roman" w:hAnsi="Times New Roman" w:cs="Times New Roman"/>
              <w:b w:val="0"/>
              <w:bCs w:val="0"/>
            </w:rPr>
          </w:pP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HYPERLINK \l _Toc16643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spacing w:val="-1"/>
              <w:lang w:val="en-US" w:eastAsia="en-US"/>
            </w:rPr>
            <w:t>（</w:t>
          </w:r>
          <w:r>
            <w:rPr>
              <w:rFonts w:hint="default" w:ascii="Times New Roman" w:hAnsi="Times New Roman" w:eastAsia="宋体" w:cs="Times New Roman"/>
              <w:b w:val="0"/>
              <w:bCs w:val="0"/>
              <w:spacing w:val="-1"/>
              <w:lang w:val="en-US" w:eastAsia="zh-CN"/>
            </w:rPr>
            <w:t>二</w:t>
          </w:r>
          <w:r>
            <w:rPr>
              <w:rFonts w:hint="default" w:ascii="Times New Roman" w:hAnsi="Times New Roman" w:eastAsia="宋体" w:cs="Times New Roman"/>
              <w:b w:val="0"/>
              <w:bCs w:val="0"/>
              <w:spacing w:val="-1"/>
              <w:lang w:val="en-US" w:eastAsia="en-US"/>
            </w:rPr>
            <w:t>）</w:t>
          </w:r>
          <w:r>
            <w:rPr>
              <w:rFonts w:hint="default" w:ascii="Times New Roman" w:hAnsi="Times New Roman" w:eastAsia="宋体" w:cs="Times New Roman"/>
              <w:b w:val="0"/>
              <w:bCs w:val="0"/>
              <w:spacing w:val="-1"/>
            </w:rPr>
            <w:t>附件2：教学计划变更审批表</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_Toc16643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rPr>
            <w:fldChar w:fldCharType="end"/>
          </w:r>
        </w:p>
        <w:p>
          <w:r>
            <w:rPr>
              <w:rFonts w:hint="default" w:ascii="Times New Roman" w:hAnsi="Times New Roman" w:cs="Times New Roman"/>
              <w:b w:val="0"/>
              <w:bCs w:val="0"/>
            </w:rPr>
            <w:fldChar w:fldCharType="end"/>
          </w:r>
        </w:p>
      </w:sdtContent>
    </w:sdt>
    <w:p>
      <w:pPr>
        <w:rPr>
          <w:rFonts w:hint="eastAsia"/>
        </w:rPr>
        <w:sectPr>
          <w:pgSz w:w="11906" w:h="16838"/>
          <w:pgMar w:top="1440" w:right="1800" w:bottom="1440" w:left="1800" w:header="851" w:footer="992" w:gutter="0"/>
          <w:cols w:space="425" w:num="1"/>
          <w:docGrid w:type="lines" w:linePitch="312" w:charSpace="0"/>
        </w:sectPr>
      </w:pPr>
    </w:p>
    <w:p>
      <w:pPr>
        <w:rPr>
          <w:rFonts w:hint="eastAsia"/>
        </w:rPr>
      </w:pPr>
    </w:p>
    <w:p>
      <w:pPr>
        <w:pStyle w:val="2"/>
        <w:spacing w:before="0" w:line="360" w:lineRule="auto"/>
        <w:ind w:right="0"/>
        <w:jc w:val="left"/>
        <w:outlineLvl w:val="0"/>
        <w:rPr>
          <w:rFonts w:hint="eastAsia"/>
        </w:rPr>
      </w:pPr>
      <w:bookmarkStart w:id="2" w:name="_Toc12915"/>
      <w:r>
        <w:rPr>
          <w:rFonts w:hint="eastAsia"/>
        </w:rPr>
        <w:t>一、专业名称及代码</w:t>
      </w:r>
      <w:bookmarkEnd w:id="0"/>
      <w:bookmarkEnd w:id="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电子商务（专业代码：730701）</w:t>
      </w:r>
    </w:p>
    <w:p>
      <w:pPr>
        <w:pStyle w:val="2"/>
        <w:spacing w:before="0" w:line="360" w:lineRule="auto"/>
        <w:ind w:right="0"/>
        <w:jc w:val="left"/>
        <w:outlineLvl w:val="0"/>
        <w:rPr>
          <w:rFonts w:hint="eastAsia"/>
        </w:rPr>
      </w:pPr>
      <w:bookmarkStart w:id="3" w:name="二、入学要求"/>
      <w:bookmarkEnd w:id="3"/>
      <w:bookmarkStart w:id="4" w:name="_Toc13369"/>
      <w:bookmarkStart w:id="5" w:name="_Toc28699"/>
      <w:r>
        <w:rPr>
          <w:rFonts w:hint="eastAsia"/>
        </w:rPr>
        <w:t>二、入学要求</w:t>
      </w:r>
      <w:bookmarkEnd w:id="4"/>
      <w:bookmarkEnd w:id="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初中毕业生或具有同等学历者</w:t>
      </w:r>
    </w:p>
    <w:p>
      <w:pPr>
        <w:pStyle w:val="2"/>
        <w:spacing w:before="0" w:line="360" w:lineRule="auto"/>
        <w:ind w:right="0"/>
        <w:jc w:val="left"/>
        <w:outlineLvl w:val="0"/>
        <w:rPr>
          <w:rFonts w:hint="eastAsia"/>
        </w:rPr>
      </w:pPr>
      <w:bookmarkStart w:id="6" w:name="三、修业年限"/>
      <w:bookmarkEnd w:id="6"/>
      <w:bookmarkStart w:id="7" w:name="_Toc19778"/>
      <w:bookmarkStart w:id="8" w:name="_Toc7201"/>
      <w:r>
        <w:rPr>
          <w:rFonts w:hint="eastAsia"/>
        </w:rPr>
        <w:t>三、修业年限</w:t>
      </w:r>
      <w:bookmarkEnd w:id="7"/>
      <w:bookmarkEnd w:id="8"/>
    </w:p>
    <w:p>
      <w:pPr>
        <w:spacing w:line="360" w:lineRule="auto"/>
        <w:ind w:firstLine="480" w:firstLineChars="200"/>
        <w:rPr>
          <w:rFonts w:hint="eastAsia" w:ascii="宋体" w:hAnsi="宋体" w:eastAsia="宋体" w:cs="宋体"/>
          <w:sz w:val="24"/>
          <w:szCs w:val="24"/>
          <w:lang w:val="en-US" w:eastAsia="zh-CN"/>
        </w:rPr>
      </w:pPr>
      <w:bookmarkStart w:id="9" w:name="_Toc6306"/>
      <w:r>
        <w:rPr>
          <w:rFonts w:hint="eastAsia" w:ascii="宋体" w:hAnsi="宋体" w:eastAsia="宋体" w:cs="宋体"/>
          <w:sz w:val="24"/>
          <w:szCs w:val="24"/>
        </w:rPr>
        <w:t>3 年</w:t>
      </w:r>
      <w:bookmarkEnd w:id="9"/>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我校采用“2.5+0.5 ”学制，即两年半在学校学习文化课和专业课，最后半年在合作企业进行顶岗实习。</w:t>
      </w:r>
    </w:p>
    <w:p>
      <w:pPr>
        <w:pStyle w:val="2"/>
        <w:spacing w:before="0" w:line="360" w:lineRule="auto"/>
        <w:ind w:right="0"/>
        <w:jc w:val="left"/>
        <w:outlineLvl w:val="0"/>
        <w:rPr>
          <w:rFonts w:hint="eastAsia"/>
        </w:rPr>
      </w:pPr>
      <w:bookmarkStart w:id="10" w:name="四、职业面向"/>
      <w:bookmarkEnd w:id="10"/>
      <w:bookmarkStart w:id="11" w:name="_Toc32342"/>
      <w:bookmarkStart w:id="12" w:name="_Toc23244"/>
      <w:r>
        <w:rPr>
          <w:rFonts w:hint="eastAsia"/>
        </w:rPr>
        <w:t>四、职业面向</w:t>
      </w:r>
      <w:bookmarkEnd w:id="11"/>
      <w:bookmarkEnd w:id="12"/>
    </w:p>
    <w:p>
      <w:pPr>
        <w:spacing w:line="360" w:lineRule="auto"/>
        <w:ind w:firstLine="480" w:firstLineChars="200"/>
      </w:pPr>
      <w:bookmarkStart w:id="13" w:name="_Toc25792"/>
      <w:r>
        <w:rPr>
          <w:rFonts w:hint="eastAsia" w:ascii="宋体" w:hAnsi="宋体" w:eastAsia="宋体" w:cs="宋体"/>
          <w:sz w:val="24"/>
          <w:szCs w:val="24"/>
          <w:lang w:val="en-US" w:eastAsia="en-US"/>
        </w:rPr>
        <w:t>本专业属财经商贸大类的电子商务类</w:t>
      </w:r>
      <w:r>
        <w:rPr>
          <w:rFonts w:hint="eastAsia" w:ascii="宋体" w:hAnsi="宋体" w:eastAsia="宋体" w:cs="宋体"/>
          <w:sz w:val="24"/>
          <w:szCs w:val="24"/>
          <w:lang w:val="en-US" w:eastAsia="zh-CN"/>
        </w:rPr>
        <w:t>，</w:t>
      </w:r>
      <w:r>
        <w:rPr>
          <w:rFonts w:hint="eastAsia" w:ascii="宋体" w:hAnsi="宋体" w:eastAsia="宋体" w:cs="宋体"/>
          <w:sz w:val="24"/>
          <w:szCs w:val="24"/>
        </w:rPr>
        <w:t>具体情况如下：</w:t>
      </w:r>
      <w:bookmarkEnd w:id="13"/>
    </w:p>
    <w:tbl>
      <w:tblPr>
        <w:tblStyle w:val="8"/>
        <w:tblW w:w="9889" w:type="dxa"/>
        <w:jc w:val="center"/>
        <w:tblLayout w:type="fixed"/>
        <w:tblCellMar>
          <w:top w:w="0" w:type="dxa"/>
          <w:left w:w="0" w:type="dxa"/>
          <w:bottom w:w="0" w:type="dxa"/>
          <w:right w:w="0" w:type="dxa"/>
        </w:tblCellMar>
      </w:tblPr>
      <w:tblGrid>
        <w:gridCol w:w="1677"/>
        <w:gridCol w:w="1215"/>
        <w:gridCol w:w="1903"/>
        <w:gridCol w:w="1676"/>
        <w:gridCol w:w="3418"/>
      </w:tblGrid>
      <w:tr>
        <w:tblPrEx>
          <w:tblCellMar>
            <w:top w:w="0" w:type="dxa"/>
            <w:left w:w="0" w:type="dxa"/>
            <w:bottom w:w="0" w:type="dxa"/>
            <w:right w:w="0" w:type="dxa"/>
          </w:tblCellMar>
        </w:tblPrEx>
        <w:trPr>
          <w:trHeight w:val="983"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所属专业大类及代码</w:t>
            </w:r>
          </w:p>
        </w:tc>
        <w:tc>
          <w:tcPr>
            <w:tcW w:w="1215"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对应行业</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（代码）</w:t>
            </w:r>
          </w:p>
        </w:tc>
        <w:tc>
          <w:tcPr>
            <w:tcW w:w="1903"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主要职业类别</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（代码）</w:t>
            </w:r>
          </w:p>
        </w:tc>
        <w:tc>
          <w:tcPr>
            <w:tcW w:w="1676"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主要岗位类别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或技术领域</w:t>
            </w:r>
          </w:p>
        </w:tc>
        <w:tc>
          <w:tcPr>
            <w:tcW w:w="341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职业技能等证书、 行业企业证书举例</w:t>
            </w:r>
          </w:p>
        </w:tc>
      </w:tr>
      <w:tr>
        <w:tblPrEx>
          <w:tblCellMar>
            <w:top w:w="0" w:type="dxa"/>
            <w:left w:w="0" w:type="dxa"/>
            <w:bottom w:w="0" w:type="dxa"/>
            <w:right w:w="0" w:type="dxa"/>
          </w:tblCellMar>
        </w:tblPrEx>
        <w:trPr>
          <w:trHeight w:val="2823" w:hRule="exact"/>
          <w:jc w:val="center"/>
        </w:trPr>
        <w:tc>
          <w:tcPr>
            <w:tcW w:w="1677"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财经商贸大类</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（73）</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电子商务类</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（730701）</w:t>
            </w: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互联网和相 关服务</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（64）</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批发业</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（51）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零售业</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1903"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电子商务师</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（4-01-02-02）</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互联网营销师</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（4-01-02-07）</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市场营销专业人员</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（2-06-07-02）</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营销员</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（4-01-02-01）</w:t>
            </w:r>
          </w:p>
        </w:tc>
        <w:tc>
          <w:tcPr>
            <w:tcW w:w="167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网店运营推广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 xml:space="preserve">新媒体营销 </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直播销售员</w:t>
            </w:r>
          </w:p>
        </w:tc>
        <w:tc>
          <w:tcPr>
            <w:tcW w:w="341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网店运营推广（初级）1+X 证书</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直播电商（初级）1+X 证书</w:t>
            </w: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电子商务数据分析（初级）1+X 证书</w:t>
            </w:r>
          </w:p>
        </w:tc>
      </w:tr>
    </w:tbl>
    <w:p>
      <w:pPr>
        <w:spacing w:line="360" w:lineRule="auto"/>
        <w:rPr>
          <w:rFonts w:hint="eastAsia" w:ascii="宋体" w:hAnsi="宋体" w:eastAsia="宋体" w:cs="宋体"/>
          <w:b/>
          <w:bCs/>
          <w:sz w:val="24"/>
          <w:szCs w:val="24"/>
        </w:rPr>
      </w:pPr>
      <w:bookmarkStart w:id="14" w:name="接续专业："/>
      <w:bookmarkEnd w:id="14"/>
      <w:r>
        <w:rPr>
          <w:rFonts w:hint="eastAsia" w:ascii="宋体" w:hAnsi="宋体" w:eastAsia="宋体" w:cs="宋体"/>
          <w:b/>
          <w:bCs/>
          <w:sz w:val="24"/>
          <w:szCs w:val="24"/>
        </w:rPr>
        <w:t>接续专业：</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接续高职专科专业：</w:t>
      </w:r>
      <w:r>
        <w:rPr>
          <w:rFonts w:hint="eastAsia" w:ascii="宋体" w:hAnsi="宋体" w:eastAsia="宋体" w:cs="宋体"/>
          <w:sz w:val="24"/>
          <w:szCs w:val="24"/>
        </w:rPr>
        <w:t>电子商务、网络营销与直播电商、移动商务、农村 电子商务、商务数据分析与应用、跨境电子商务</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接续高职本科专业：</w:t>
      </w:r>
      <w:r>
        <w:rPr>
          <w:rFonts w:hint="eastAsia" w:ascii="宋体" w:hAnsi="宋体" w:eastAsia="宋体" w:cs="宋体"/>
          <w:sz w:val="24"/>
          <w:szCs w:val="24"/>
        </w:rPr>
        <w:t>电子商务、跨境电子商务、全媒体电商运营</w:t>
      </w:r>
    </w:p>
    <w:p>
      <w:pPr>
        <w:pStyle w:val="2"/>
        <w:spacing w:before="0" w:line="360" w:lineRule="auto"/>
        <w:ind w:right="0"/>
        <w:jc w:val="left"/>
        <w:outlineLvl w:val="0"/>
        <w:rPr>
          <w:rFonts w:hint="eastAsia"/>
        </w:rPr>
      </w:pPr>
      <w:bookmarkStart w:id="15" w:name="_Toc12127"/>
      <w:bookmarkStart w:id="16" w:name="_Toc19758"/>
      <w:r>
        <w:rPr>
          <w:rFonts w:hint="eastAsia"/>
        </w:rPr>
        <w:t>五、培养目标与培养规格</w:t>
      </w:r>
      <w:bookmarkEnd w:id="15"/>
      <w:bookmarkEnd w:id="16"/>
    </w:p>
    <w:p>
      <w:pPr>
        <w:spacing w:before="164" w:line="360" w:lineRule="auto"/>
        <w:ind w:left="440" w:leftChars="0" w:right="0" w:firstLine="0" w:firstLineChars="0"/>
        <w:jc w:val="left"/>
        <w:outlineLvl w:val="1"/>
        <w:rPr>
          <w:rFonts w:hint="eastAsia" w:ascii="黑体" w:hAnsi="黑体" w:eastAsia="黑体" w:cs="黑体"/>
          <w:b/>
          <w:bCs/>
          <w:spacing w:val="-1"/>
          <w:sz w:val="28"/>
          <w:szCs w:val="28"/>
        </w:rPr>
      </w:pPr>
      <w:bookmarkStart w:id="17" w:name="_Toc30257"/>
      <w:r>
        <w:rPr>
          <w:rFonts w:hint="eastAsia" w:ascii="黑体" w:hAnsi="黑体" w:eastAsia="黑体" w:cs="黑体"/>
          <w:b/>
          <w:bCs/>
          <w:spacing w:val="-1"/>
          <w:sz w:val="28"/>
          <w:szCs w:val="28"/>
        </w:rPr>
        <w:t>（一）培养目标</w:t>
      </w:r>
      <w:bookmarkEnd w:id="17"/>
    </w:p>
    <w:p>
      <w:pPr>
        <w:spacing w:line="360" w:lineRule="auto"/>
        <w:ind w:left="0" w:leftChars="0" w:firstLine="439" w:firstLineChars="183"/>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教育方针，坚持和加强党的全面领导，坚持社会主义办学方向，落实立德树人根本任务，培养理想信念坚定、德技并修、全面发展，具有诚信守法、协作创新、开放包容等素质，掌握扎实的科学文化基础和电子商务基础、营销基础、商品零售、数据采集与分析等知识，具备商品拍摄与素材编辑、店铺和账户日常维护、运营数据采集、营销推广执行、直播销售、视觉设计制作、客户咨询服务等能力，具有工匠精神和信息素养，能够从事店铺运营辅助、新媒体运营辅助、网络推广、新媒体营销执行、直播销售、直播辅助、视觉 设计、客户服务等工作的技术技能人才。</w:t>
      </w:r>
    </w:p>
    <w:p>
      <w:pPr>
        <w:spacing w:before="164" w:line="360" w:lineRule="auto"/>
        <w:ind w:left="440" w:leftChars="0" w:right="0" w:firstLine="0" w:firstLineChars="0"/>
        <w:jc w:val="left"/>
        <w:outlineLvl w:val="1"/>
        <w:rPr>
          <w:rFonts w:hint="eastAsia" w:ascii="黑体" w:hAnsi="黑体" w:eastAsia="黑体" w:cs="黑体"/>
          <w:b/>
          <w:bCs/>
          <w:spacing w:val="-1"/>
          <w:sz w:val="28"/>
          <w:szCs w:val="28"/>
        </w:rPr>
      </w:pPr>
      <w:bookmarkStart w:id="18" w:name="_Toc18208"/>
      <w:r>
        <w:rPr>
          <w:rFonts w:hint="eastAsia" w:ascii="黑体" w:hAnsi="黑体" w:eastAsia="黑体" w:cs="黑体"/>
          <w:b/>
          <w:bCs/>
          <w:spacing w:val="-1"/>
          <w:sz w:val="28"/>
          <w:szCs w:val="28"/>
        </w:rPr>
        <w:t>（二）培养规格</w:t>
      </w:r>
      <w:bookmarkEnd w:id="18"/>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本专业学生应在系统学习本专业知识并完成有关实习实训基础上，全面 提升素质、知识、能力，掌握并实际运用岗位（群）需要的专业技术技能， 总体上须达到以下要求：</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19" w:name="_Toc19232"/>
      <w:r>
        <w:rPr>
          <w:rFonts w:hint="eastAsia" w:ascii="黑体" w:hAnsi="黑体" w:eastAsia="黑体" w:cs="黑体"/>
          <w:b/>
          <w:bCs/>
          <w:spacing w:val="-1"/>
          <w:sz w:val="28"/>
          <w:szCs w:val="28"/>
        </w:rPr>
        <w:t>1.知识目标</w:t>
      </w:r>
      <w:bookmarkEnd w:id="19"/>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（1）掌握电子商务基础、市场营销、商品知识、网络广告制作、客户关系管理、沟通技巧、商业礼仪等方面的专业基础知识；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（2）掌握主流电商平台规则和常用工具使用方法，能进行店铺开设、账号 维护、商品编辑发布与优化、采集整理运营数据、活动执行、辅助运营；</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（3）掌握直播常用工具的使用，能根据直播运营要求和销售目标，完成商品定位、直播创建、脚本编写、直播执行、流量维护、直播优化；</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0" w:name="_Toc2734"/>
      <w:r>
        <w:rPr>
          <w:rFonts w:hint="eastAsia" w:ascii="黑体" w:hAnsi="黑体" w:eastAsia="黑体" w:cs="黑体"/>
          <w:b/>
          <w:bCs/>
          <w:spacing w:val="-1"/>
          <w:sz w:val="28"/>
          <w:szCs w:val="28"/>
        </w:rPr>
        <w:t>2.能力目标</w:t>
      </w:r>
      <w:bookmarkEnd w:id="20"/>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（1）具有平台站内外营销推广的能力，能进行营销内容制作与发布、社群营销、媒介营销辅助，媒体和工具推广、网络广告投放；</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（2）具备视觉营销设计的能力，能进行图片处理、海报设计制作、主图制 作、页面设计、短视频制作；</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（3）具备客户服务的能力，能根据客服规范，完成客户咨询回复、异 常订单处理、售后纠纷处理、客户维护和评价。</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（4）具有适应零售新业态需求的基本数字技能，掌握信息技术、办公 软件应用基础知识，能进行数据采集、数据可视化处理、图形图像处理；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（5）具有终身学习和可持续发展能力，具备一定的批判性思维和创新精神， 具有一定的分析问题和解决问题的能力,具有基本的欣赏美和创造美的能力;</w:t>
      </w:r>
    </w:p>
    <w:p>
      <w:pPr>
        <w:spacing w:before="164" w:line="360" w:lineRule="auto"/>
        <w:ind w:left="440" w:leftChars="0" w:right="0" w:firstLine="0" w:firstLineChars="0"/>
        <w:jc w:val="left"/>
        <w:outlineLvl w:val="2"/>
        <w:rPr>
          <w:rFonts w:hint="eastAsia" w:ascii="黑体" w:hAnsi="黑体" w:eastAsia="黑体" w:cs="黑体"/>
          <w:b/>
          <w:bCs/>
          <w:spacing w:val="-1"/>
          <w:sz w:val="28"/>
          <w:szCs w:val="28"/>
        </w:rPr>
      </w:pPr>
      <w:bookmarkStart w:id="21" w:name="_Toc6537"/>
      <w:r>
        <w:rPr>
          <w:rFonts w:hint="eastAsia" w:ascii="黑体" w:hAnsi="黑体" w:eastAsia="黑体" w:cs="黑体"/>
          <w:b/>
          <w:bCs/>
          <w:spacing w:val="-1"/>
          <w:sz w:val="28"/>
          <w:szCs w:val="28"/>
        </w:rPr>
        <w:t>3.素养目标</w:t>
      </w:r>
      <w:bookmarkEnd w:id="21"/>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（1）坚定拥护中国共产党领导和中国特色社会主义制度，以习近平新时代中国特色社会主义思想为指导，践行社会主义核心价值观，具有坚定的 理想信念深厚的爱国情感和中华民族自豪感；</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（2）能够熟练掌握与本专业从事职业活动相关的电子商务法律法规、 互联网交易安全、质量管理等相关知识与技能，了解电子商务、服务、零售 相关产业文化，遵守职业道德准则和行为规范，诚信经营，具备社会责任感 和担当精神；</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（3）掌握支撑本专业学习和可持续发展必备的思想政治、语文、历史、 数学等文化基础知识，具有良好的科学与人文素养，具备职业生涯规划能力；</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（4）具有良好的语言表达能力、文字表达能力、沟通合作能力，具有较强的集体意识和团队合作意识；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（5）弘扬劳动光荣、技能宝贵、创造伟大的时代精神，热爱劳动人民、珍惜劳动成果、树立劳动观念、积极投身劳动，具备与本专业职业发展相适应的劳动素养、劳动技能；</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（6）学会基于互联网的自主探究学习，培养团队合作精神及创新创业意识；</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（7）掌握必备的美育知识，具有一定的文化修养、审美能力，形成至少1项艺术特长或爱好；</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（8）达到《国家学生体质健康标准》，养成良好的健身与卫生习惯；具有 健康的体魄、积极的心态、良好的人际关系和健全的人格；具有环境适应能力，具有较强的 抗挫和抗压能力，能够进行情绪管理。</w:t>
      </w:r>
    </w:p>
    <w:p>
      <w:pPr>
        <w:pStyle w:val="2"/>
        <w:spacing w:before="0" w:line="360" w:lineRule="auto"/>
        <w:ind w:right="0"/>
        <w:jc w:val="left"/>
        <w:outlineLvl w:val="0"/>
        <w:rPr>
          <w:rFonts w:hint="eastAsia"/>
        </w:rPr>
      </w:pPr>
      <w:bookmarkStart w:id="22" w:name="_Toc13272"/>
      <w:bookmarkStart w:id="23" w:name="_Toc9332"/>
      <w:r>
        <w:rPr>
          <w:rFonts w:hint="eastAsia"/>
        </w:rPr>
        <w:t>六、课程设置及要求</w:t>
      </w:r>
      <w:bookmarkEnd w:id="22"/>
      <w:bookmarkEnd w:id="23"/>
    </w:p>
    <w:p>
      <w:pPr>
        <w:pStyle w:val="2"/>
        <w:spacing w:before="0" w:line="360" w:lineRule="auto"/>
        <w:ind w:right="0" w:firstLine="480" w:firstLineChars="200"/>
        <w:jc w:val="left"/>
        <w:outlineLvl w:val="0"/>
        <w:rPr>
          <w:rFonts w:hint="eastAsia" w:ascii="宋体" w:hAnsi="宋体" w:eastAsia="宋体" w:cs="宋体"/>
          <w:b w:val="0"/>
          <w:bCs w:val="0"/>
          <w:sz w:val="24"/>
          <w:szCs w:val="24"/>
          <w:lang w:val="en-US" w:eastAsia="en-US" w:bidi="ar-SA"/>
        </w:rPr>
      </w:pPr>
      <w:bookmarkStart w:id="24" w:name="_Toc16888"/>
      <w:r>
        <w:rPr>
          <w:rFonts w:hint="eastAsia" w:ascii="宋体" w:hAnsi="宋体" w:eastAsia="宋体" w:cs="宋体"/>
          <w:b w:val="0"/>
          <w:bCs w:val="0"/>
          <w:sz w:val="24"/>
          <w:szCs w:val="24"/>
          <w:lang w:val="en-US" w:eastAsia="en-US" w:bidi="ar-SA"/>
        </w:rPr>
        <w:t>本专业课程设置分为公共基础课和专业（技能）课。公共基础课包括思想政治、语文、数学、英语、体育与健康</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lang w:val="en-US" w:eastAsia="en-US" w:bidi="ar-SA"/>
        </w:rPr>
        <w:t>历史</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lang w:val="en-US" w:eastAsia="en-US" w:bidi="ar-SA"/>
        </w:rPr>
        <w:t>艺术（音乐或美术）</w:t>
      </w:r>
      <w:r>
        <w:rPr>
          <w:rFonts w:hint="eastAsia" w:ascii="宋体" w:hAnsi="宋体" w:eastAsia="宋体" w:cs="宋体"/>
          <w:b w:val="0"/>
          <w:bCs w:val="0"/>
          <w:sz w:val="24"/>
          <w:szCs w:val="24"/>
          <w:lang w:val="en-US" w:eastAsia="zh-CN" w:bidi="ar-SA"/>
        </w:rPr>
        <w:t>、</w:t>
      </w:r>
      <w:r>
        <w:rPr>
          <w:rFonts w:hint="eastAsia" w:ascii="宋体" w:hAnsi="宋体" w:eastAsia="宋体" w:cs="宋体"/>
          <w:b w:val="0"/>
          <w:bCs w:val="0"/>
          <w:sz w:val="24"/>
          <w:szCs w:val="24"/>
          <w:lang w:val="en-US" w:eastAsia="en-US" w:bidi="ar-SA"/>
        </w:rPr>
        <w:t>以及其他自然科学和人文科学类基础课。专业(技能)课包括专业基础课、专业核心课、专业方向课和专业选修课，实习实训是专业技能课教学的重要内容，含校内外实训、教学实习等多种形式。</w:t>
      </w:r>
      <w:bookmarkEnd w:id="24"/>
    </w:p>
    <w:p>
      <w:pPr>
        <w:spacing w:before="27"/>
        <w:ind w:left="400" w:right="0" w:firstLine="0"/>
        <w:jc w:val="left"/>
        <w:outlineLvl w:val="1"/>
        <w:rPr>
          <w:rFonts w:ascii="黑体" w:hAnsi="黑体" w:eastAsia="黑体" w:cs="黑体"/>
          <w:sz w:val="30"/>
          <w:szCs w:val="30"/>
        </w:rPr>
      </w:pPr>
      <w:bookmarkStart w:id="25" w:name="_Toc95"/>
      <w:bookmarkStart w:id="26" w:name="_Toc11104"/>
      <w:r>
        <w:rPr>
          <w:rFonts w:ascii="黑体" w:hAnsi="黑体" w:eastAsia="黑体" w:cs="黑体"/>
          <w:b/>
          <w:bCs/>
          <w:sz w:val="30"/>
          <w:szCs w:val="30"/>
        </w:rPr>
        <w:t>（一）公共基础课</w:t>
      </w:r>
      <w:bookmarkEnd w:id="25"/>
      <w:bookmarkEnd w:id="26"/>
    </w:p>
    <w:tbl>
      <w:tblPr>
        <w:tblStyle w:val="8"/>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1312"/>
        <w:gridCol w:w="5389"/>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blHeader/>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12"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5389"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1787"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职业道德与法治</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本课程通过对职业生涯规划、职业道德与法治、经济政治与社会、哲学与人 生四个模块内容的学习，指导学生制定出符合实际的职业生涯规划书，树立正确 的职业理想和职业观、择业观、创业观以及成才观；养成职业道德行为习惯，指 导学生掌握法律常识，树立法治观念，增强法律意识；掌握马克思主义的相关基 本观点和我国社会主义经济建设、政治建设、文化建设、社会建设的有关知识； 提高辨析社会现象、主动参与社会生活的能力；使学生了解马克思主义哲学中与 人生发展关系密切的基础知识，提高学生用马克思主义哲学的基本观点、方法分 析和解决人生发展重要问题的能力，引导学生进行正确的价值判断和行为选择， 形成积极向上的人生态度，为人生的健康发展奠定思想基础。</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中国特色社会主义</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依据《中等职业学校思想政治课程标准》（2020 版）开设。本课程阐明马克思主义哲学是 科学的世界观和方法论，讲述辩证唯物主义和历 史唯物主义基本观点及其对人生成长的意义；阐 述社会生活及个人成长中进行正确价值判断和行 为选择的意义。通过本部分内容的学习，学生能 够了解马克思主义哲学基本原理，运用辩证唯物 主义和历史唯物主义观点认识世界，坚持实践第 一的观点，一切从实际出发、实事求是，学会用 具体问题具体分析等方法，正确认识社会问题， 分析和处理个人成长中的人生问题，在生活中做出正确的价值判断和行为选择，自觉弘扬和践行社会主义核心价值观，为形成正确的世界观、人生观和价值观奠定基础。</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语文</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本课程在初中语文的基础上，着力于语文基本的字、词、句、篇的理解，进一步巩固和扩展学生必需的语文基础知识；进一步学习提高现代文阅读和写作能 力，提高以听说为主的口语交际和专业实用、应用文体的书写能力；培养发现问题、解决问题的能力，为提高学生综合职业能力和适应职业变化的能力奠定基 础。在教学过程中，引导学生接受优秀文化的熏陶，培养高尚的审美情趣，树立 爱国主义、集体主义，发展个性特长，形成健全人格。</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数学</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本课程在初中数学的基础上，使学生进一步巩固和扩展必需的数学基础知识，养成自学和运用数学的良好习惯，为学习专业知识、掌握职业技能、继续 学习和终身发展奠定基础，提高学生就业能力与创业能力。提高学生的计算技 能、计算工具使用技能和数据处理技能，培养学生的观察能力、空间想象能力 和简单实际应用能力。</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英语</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中等职业学校英语课程的目标是全面贯彻党的教育方针，落实立德树人根本任务，在义务教育的基础上，进一步激发学生英语学习的兴趣，帮助学生掌 握基础知识和基本技能，发展英语学科核心素养，为学生的职业生涯、继续学 习和终身发展奠定基础。在日常英语的基础上，围绕职场相关主题，能运用所 学 语言知识，理解不同类型语篇所传递的意义和情感；能以口头或书面形式进 行基本的沟通；能在职场中综合运用语言知识和技能进行交流。能理解英语在表达方式上体现出的中西思维差异；能 理解英语在逻辑论证上体现出的中西思维差异；在了解中西思维差异的基础 上，能客观对待不同观点，做出正确价值判断。能树立正确的英语学习观，具有明确的学习目标；能多渠 道获取英语学习资源；能有效规划个人的学习，选择恰当的学习策略和方法； 能监控、评价、反思和调整自己的学习内容和进程，提高学习效率。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体育与健康</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传授体育与健康的基本文化知识、体育技能和方法，通过科学指导和安排体育锻炼过程，全面提高学生身体素质，发展身体基本活动能力，增进学生身心健康，培养学生未来职业所必需的体能和社会适应能力。使学生掌握必要的体育与卫生保健基础知识和运动技能，增强体育锻炼与保健意识，了解一定的科学锻炼和娱乐休闲方法；注重学生个性与体育特长的发展，学会欣赏一至两项体育项目竞赛，提高自主锻炼、自我保健、自我评价和自我调控的能力，养成终身从事体育锻炼的意识与习惯，为继续学习与创业立业奠定基础。并且通过体育教学， 提高生活质量，为全面促进学生身体健康、心理健康和社会适应能力服务。进行爱国主义、集体主义和职业道德与行为规范教育，提高学生社会责任感。</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公共艺术</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本课程是中等职业学校学生必修的一门公共课程，其任务是陶冶学生的艺术情操，培养学生具备基本的艺术素养，使学生具备一定的艺术鉴赏能力和网 页审美能力。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历史</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本课程的任务是在义务教育历史课程的基础上，以唯物史观为指导，促进 中等职业学校学生进一步了解人类社会形态从低级到高级发展的基本 脉络、基 本规律和优秀文化成果；从历史的角度了解和思考人与人、人与社会、人与自然 的关系，增强历史使命感和社会责任感；进一步弘扬以爱国主义为核心的民族精 神和以改革创新为核心的时代精神，培育和践行社会主义核心价值观；树立正确 的历史观、民族观、国家观和文化观；塑造健全的人格，养成职业精神，培养德 智体美劳全面发展的社会主义建设者和接班人。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商业礼仪</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本课程使学生掌握形体礼仪训练的基本知识、基本技术、基本能力，从而提高学生对形体美的鉴赏力、表现力和创造力，将形体语言较好地运用于实际 工作中。注重理论教学与实践教学相结合，提高学生的礼貌修养，培养学生的 实际操作能力和自律精神，为今后从业管理工作塑造良好形象，提高服务艺 术，奠定坚实的基础。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2"/>
                <w:lang w:val="en-US" w:eastAsia="zh-CN" w:bidi="ar"/>
              </w:rPr>
              <w:t>信息技术</w:t>
            </w:r>
          </w:p>
        </w:tc>
        <w:tc>
          <w:tcPr>
            <w:tcW w:w="5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本课程依据《中等职业学校计算机应用基础教学大纲》开设，并注重在职业模块的教学内容中体现专业特色。本课程学习计算机的基础知识、常用操作 系统、汉字输入、常用办公软件、常用多媒体技术、计算机网络的基本应用、 计算机安全及日常维护等技能。使学生掌握计算机基础知识，掌握 Windows 操 作系统的基本操作及常用多媒体技术，会计算机网络的简单应用及计算机的日常维护，熟练掌握五笔字型等汉字输入技能及常用办公软件的使用。培养学习 计算机知识和技能的兴趣，培养正确使用计算机的能力，树立良好的计算机安 全意识，为以后的学习和工作打下基础。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bl>
    <w:p>
      <w:pPr>
        <w:pStyle w:val="2"/>
        <w:spacing w:before="0" w:line="360" w:lineRule="auto"/>
        <w:ind w:right="0"/>
        <w:jc w:val="left"/>
        <w:outlineLvl w:val="9"/>
        <w:rPr>
          <w:rFonts w:hint="eastAsia"/>
        </w:rPr>
      </w:pPr>
    </w:p>
    <w:p>
      <w:pPr>
        <w:spacing w:before="27"/>
        <w:ind w:left="400" w:right="0" w:firstLine="0"/>
        <w:jc w:val="left"/>
        <w:outlineLvl w:val="1"/>
        <w:rPr>
          <w:rFonts w:hint="eastAsia" w:ascii="黑体" w:hAnsi="黑体" w:eastAsia="黑体" w:cs="黑体"/>
          <w:b/>
          <w:bCs/>
          <w:sz w:val="30"/>
          <w:szCs w:val="30"/>
          <w:lang w:val="en-US" w:eastAsia="zh-CN"/>
        </w:rPr>
      </w:pPr>
      <w:bookmarkStart w:id="27" w:name="_Toc29445"/>
      <w:r>
        <w:rPr>
          <w:rFonts w:hint="eastAsia" w:ascii="黑体" w:hAnsi="黑体" w:eastAsia="黑体" w:cs="黑体"/>
          <w:b/>
          <w:bCs/>
          <w:sz w:val="30"/>
          <w:szCs w:val="30"/>
          <w:lang w:val="en-US" w:eastAsia="zh-CN"/>
        </w:rPr>
        <w:t>（二）</w:t>
      </w:r>
      <w:r>
        <w:rPr>
          <w:rFonts w:hint="eastAsia" w:ascii="黑体" w:hAnsi="黑体" w:eastAsia="黑体" w:cs="黑体"/>
          <w:b/>
          <w:bCs/>
          <w:sz w:val="30"/>
          <w:szCs w:val="30"/>
          <w:lang w:val="en-US" w:eastAsia="en-US"/>
        </w:rPr>
        <w:t>专业（技能）课</w:t>
      </w:r>
      <w:bookmarkEnd w:id="27"/>
    </w:p>
    <w:tbl>
      <w:tblPr>
        <w:tblStyle w:val="8"/>
        <w:tblW w:w="95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599"/>
        <w:gridCol w:w="1670"/>
        <w:gridCol w:w="3815"/>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blHeader/>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 号</w:t>
            </w:r>
          </w:p>
        </w:tc>
        <w:tc>
          <w:tcPr>
            <w:tcW w:w="1599"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1670"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课程类别</w:t>
            </w:r>
          </w:p>
        </w:tc>
        <w:tc>
          <w:tcPr>
            <w:tcW w:w="3815"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课程目标、主要内容与教学要求</w:t>
            </w:r>
          </w:p>
        </w:tc>
        <w:tc>
          <w:tcPr>
            <w:tcW w:w="1443" w:type="dxa"/>
            <w:tcBorders>
              <w:top w:val="single" w:color="000000" w:sz="4" w:space="0"/>
              <w:left w:val="single" w:color="000000" w:sz="4" w:space="0"/>
              <w:bottom w:val="single" w:color="000000" w:sz="4" w:space="0"/>
              <w:right w:val="single" w:color="000000" w:sz="4" w:space="0"/>
            </w:tcBorders>
            <w:shd w:val="clear" w:color="auto" w:fill="4874CB"/>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参考学时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市场营销基础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着重培养学生的分析问题，解决问题的实践能力。要求学生牢固树立以消费者需求为中心的市场营销观念，并以此观念为指导研究和解决市场营销的理论和实际问题；掌握市场营销的基本概念、基本原理和方法；紧密联系实际，加强营销案例分析，进行营销实战演习，解决企业实际问题。</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本课程要求学生了解电子商务的含义、类型及特点， 熟悉B2B、B2C、C2C、团购等典型电子商务模式；掌握网络零售的主要交易流程，熟悉网上银行和第三方支付平台业务；能应用电子商务平台进行网上商店的搭建和日常商务交易处理，了解电子商务相关的法律法规、行业政策和网络安全常识。</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零售基础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零售渠道理论、零售业态理论、零售 产业分析、零售战略管理、零售区位管理、零售商品管理、零售门店管理、零售营销管理及国内外零售业的发展动态及相关案例。了解零售渠道理论、零售业态理论、 零售产业分析、零售战略管理、零售区位管理、零售 商品管理、零售门店管理、零售营销管理等相关知识， 能进行简单的案例分析。</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商品拍摄与素材编辑</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本课程学习选择与使用摄影设备，摆放产品、产品摄影构图、产品摄影用光；掌握不同材质产品的拍摄技巧；能够根据客户需求收集商品图片；能够熟练使用 photoshop 处理商品图片；能够熟练设计、制作网页广告；能够熟练地进行基本店铺的装修。</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客户服务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了解各种业务类型的电子商务客户服务的岗位要求，培养电商客服应具备的基本素质；掌握客户接待、倾听、沟通、异议处理技巧，熟练应用各种通讯工具开展网店客服工作；具备为电子商务企业开展客户服务的基础知识和基本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视觉设计与制作</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了解网站页面布局特点及不同页面布局所适用的范围；了解电子商务网站的特点和发展趋势；能使用平面设计软件，按照制作流程完成网站效果图的制作；能通过后台选择套版模板；选择配色方案；掌握调整页面布局，选择模块的操作方法；能通过后台上传图片至正确位置；能通过后台发表文章至正确位置；会修改代码，通过修改代码完成页面编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网络推广实务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掌握网络营销与传统营销的区别、网络营销的战略、网上调查、网上市场的特征与购买行为、网络产品策略、网络营销的服务、网络营销价格策略、网络营销渠道、网上促销策略、网络广告、网络营销的实施、组织和控制，认识到网络营销在电子商务专业中的重要作用。</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新媒体营销</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掌握新媒体基础内容制作，包括长图文、段图文、文案、短视频等各形式的内容创作；熟 悉新媒体活动运营的基础知识，了解活动定位与活动 形式，并能够制作完整的活动策划书。 熟悉用户运 营和内容运营的基础知识，了解用户拉新、促活、留 存、转化的技巧，做好用户的日常运营；并能维持日 常的新媒体内容运营，根据运营反馈调整输出。了解 常见新媒体平台的异同点，掌握各平台的运营技巧， 并形成新媒体矩阵，并能基于新媒体矩阵进行用户运 营、内容运营及活动运营。掌握裂变海报制作，及完 整裂变活动的操作与执行。</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新媒体运营</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本课程要求学生掌握新媒体图片设计技术，能通过网络渠道获取高质量图片；能运用在线图片处理工具制作符合各新媒体平台的文章封面、创意图片；能利用秀米、美图等工具制作长图；能利用 GIF 制作工具制作动态图；能利用斗图在线制作工具制作个性表情包；了解文章排版的常见类型，掌握常见排版工具的使用技巧，能选择合适的排版工具来进行排版工作；掌握新媒体视频拍摄与剪辑技术，能根据视频拍摄主题编写脚本；能用手机拍出好看、且富有创造力的照片，具备不同类型视频的制作技能及短视频发布平台选择能力；掌握新媒体数据收集与分析技术，能够能识别新媒体平台及用户数据类别及来源，采集新媒体数据，能对新媒体的传播数据、互动数据、转化数据进行分析，能够分析热点价值并筛选有价值的热点。</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直播销售</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直播电商策划、直播带货和推广的知识和技巧三大模块，为商品选品、内容策划、脚本策 划、商品讲解与展示、直播控场、直播 引流、二次 传播、数据分析等任务。围绕直播电商，从发展趋势、团队组 建、账号搭建、直播电商四大岗位基础技能培养（主 播、辅播、场控、运营）、分岗实训、团队实训，业 流程贯穿直播前、直播中、直播后，最终实现岗位能 力以及综合管理能力的培养。</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直播运营实务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直播间场地选择和直播间场景搭建的方法，能根据直播内容和品牌方要求整理物料清单，进行直播物料准备；掌握直播短视频脚本撰写和拍摄要点，能根据短视频内容定位撰写短视频脚本并进行拍摄；熟悉直播流程，能够根据直播平台规则，完成电商直播平台的开通和直播间装修，完成商品发布与设置；熟悉直播脚本的要素， 能够编写直播脚本初稿；能够使用各种直播互动工具提升直播间热度；掌握粉丝关系管理的方法，能整理订单数据、合理安排发货、及时处理售后问题；熟悉直播数据分析的指标，能初步处理直播数据，分析销售目标达成情况和单场直播宣传推广整体效果。</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商业美术</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主要学习电子商务网站图案形式美的规律、图案的造型、平面图案的构成、图案的色彩、图案的制作技法、立体造型基础、图案应用及美术字等内容，创造美的设计作品，获得对各种样式和构成作品的艺术分析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推销技巧</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学习推销的基本程序和方法，能做好推销各环节的准备工作，具有寻找潜在顾客和接近顾客的能力；掌握推销洽谈方法，具有洽谈能力；具有处理顾客异议的能力；能做好成交及其后续工作。使学生具备从事商品销售所必需的推销知识，初步形成实际推销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消费心理学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学习消费者购买商品的心理过程，了解消费者个性心理特征；理解消费者心理需要的特点和购买动机的内涵；影响消费者行为的因素；根据消费者在购买活动中的表现分析消费者的心理需要；对消费者具体购买动机和行为进行分析。使学生掌握从事商品销售工作所必需的销售心理的基本知识，具有分析消费者心理和针对不同消费者的心理特点提供优质服务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网上创业</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本课程要求学生综合运用所学的专业技能，开展网店运营综合实训，强化网店经营管理、网店装修、网店推广、客户服务等实战技能，进一步提升学生网上创业的能力。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电子商务数据分析（含1+X证书）</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本课程要求学生掌握基础数据采集、数据处理与描述性分析的知识、方法和工具，通过数据平台、问卷调研等工具或途径获取电子商务企业内、外部数据，根据数据分析的目的和主题，通过 Excel等数据处理工具对采集到的数据进行处理与基础分析。能够监测企业经营数据，及时发现数据异常，完成基础数据图表、报表制作。并在课程教学中融入电子商务数据 分析 1+X 初级证书考核相关知识技能，指导学生考取电子商务数据 分析 1+X 初级证书.</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商品知识</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本课程要求学生掌握商品的相关概念、商品标准、商品检验方法、商品包装、商品储存和养护以及食品、服装、日用百货、家用电器等主要商品知识，能够初步掌握商品质量检验的技能。</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公共关系</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要求了解公共关系工作程序各步骤的基本知识，学习掌握公共关系各项实务工作的基本知识，并通过公关实务的实习实践，掌握公关实务的基本技能。了解并掌握公关调查、公关计划、公关信息传播、公关效果评估、公关专题活动、接待工作、交际技巧、礼节习惯、谈判工作等公关的基本技能与技巧，为日后成为合格的公关工作人员而打好基础，做好公关知识技能方面的储备</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办公综合运用</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学习本课程可以帮助学生独立并正确地掌握办公软件的应用技术，通过学习本课程，使学生能够掌握办公集成软件的高级应用技术，进而理解计算思维在本专业领域的典型应用，为后续专业课程提供必要的计算机应用基础。</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学原理》是电子商务专业、会计事务专业的专业课程，又是一门实践性和理论性、科学性和艺术性兼而有之的应用性学科。通过该课程学习，旨在让学生树立现代管理的思想，全面地了解现代管理的基本理论和方法，对管理实践问题进行分析和决策，培养基层管理岗位的综合管理技能与素质。为日后进入大专学习专业技术课程和职能管理课程打下扎实的理论基础，也为学生就业打下坚实的理论基础和职业基础。移动商务是电子商务专业的专业基础技能课。同时是电子商务专业一门面向职业岗位的综合性重实训课程。本课程在电商专业第四学期开设。</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移动商务</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本课程的讲解、演练与实践，促进本专业学生更好地掌握移动商务基础的基础理论，并具备移动商务基础核心技能的操作能力。课程通过理论教学及实践活动，培养学生移动商务基础概述、移动商务基础技术、移动支付与移动商务安全管理、移动商务基础价值链与商业模式、移动营销、移动商务基础开发技术、移动商务基础物流管理的知识与技能；同时培养学生具备实际就业中需要拥有的心理素质和职业素养。</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心理活动课</w:t>
            </w: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专业拓展课</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本课程以立德树人为根本任务，以团体活动 为载体，以班级全体学生为辅导对象，以发展、 预防和教育为主要功能。帮助学生确立正确的自我意识，树立人生理想和信念，培养积极的人格特质，提升人格魅力；帮助学生掌握学习策略，开发学习潜能，提高学习效率，积极应对考试；帮助学生认识自己的人际关系状况，培养人际沟通能力，知道友谊和爱情的界限，正确对待和异性同伴的交往，帮助学生建立良好的人际关系；帮助学生理解压力的意义，积极应对压力，进一步提高承受失败和挫折的能力，培养良好的意志品质；帮助学生了解自己的兴趣、能力、性格、特长和社会职业发展方向，进行升学就业的选择和准备，培养担当意识和社会责任感。</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r>
    </w:tbl>
    <w:p>
      <w:pPr>
        <w:rPr>
          <w:rFonts w:hint="eastAsia"/>
        </w:rPr>
      </w:pPr>
    </w:p>
    <w:p>
      <w:pPr>
        <w:rPr>
          <w:rFonts w:hint="eastAsia"/>
        </w:rPr>
      </w:pPr>
    </w:p>
    <w:p>
      <w:pPr>
        <w:pStyle w:val="2"/>
        <w:numPr>
          <w:ilvl w:val="0"/>
          <w:numId w:val="1"/>
        </w:numPr>
        <w:spacing w:before="28" w:line="240" w:lineRule="auto"/>
        <w:ind w:left="100" w:right="0"/>
        <w:jc w:val="left"/>
        <w:outlineLvl w:val="0"/>
      </w:pPr>
      <w:bookmarkStart w:id="28" w:name="_Toc12321"/>
      <w:bookmarkStart w:id="29" w:name="_Toc1891"/>
      <w:r>
        <w:t>教学进程总体安排</w:t>
      </w:r>
      <w:bookmarkEnd w:id="28"/>
      <w:bookmarkEnd w:id="29"/>
    </w:p>
    <w:p>
      <w:pPr>
        <w:pStyle w:val="3"/>
        <w:keepNext/>
        <w:keepLines/>
        <w:pageBreakBefore w:val="0"/>
        <w:widowControl w:val="0"/>
        <w:kinsoku/>
        <w:wordWrap/>
        <w:overflowPunct/>
        <w:topLinePunct w:val="0"/>
        <w:autoSpaceDE/>
        <w:autoSpaceDN/>
        <w:bidi w:val="0"/>
        <w:adjustRightInd/>
        <w:snapToGrid/>
        <w:spacing w:line="240" w:lineRule="exact"/>
        <w:textAlignment w:val="auto"/>
      </w:pPr>
      <w:bookmarkStart w:id="30" w:name="_Toc17256"/>
      <w:r>
        <w:rPr>
          <w:rFonts w:hint="eastAsia"/>
          <w:lang w:eastAsia="zh-CN"/>
        </w:rPr>
        <w:t>（</w:t>
      </w:r>
      <w:r>
        <w:rPr>
          <w:rFonts w:hint="eastAsia"/>
          <w:lang w:val="en-US" w:eastAsia="zh-CN"/>
        </w:rPr>
        <w:t>一）</w:t>
      </w:r>
      <w:r>
        <w:t>课程设置表</w:t>
      </w:r>
      <w:bookmarkEnd w:id="30"/>
    </w:p>
    <w:tbl>
      <w:tblPr>
        <w:tblStyle w:val="8"/>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677"/>
        <w:gridCol w:w="936"/>
        <w:gridCol w:w="737"/>
        <w:gridCol w:w="746"/>
        <w:gridCol w:w="588"/>
        <w:gridCol w:w="579"/>
        <w:gridCol w:w="579"/>
        <w:gridCol w:w="579"/>
        <w:gridCol w:w="579"/>
        <w:gridCol w:w="580"/>
        <w:gridCol w:w="692"/>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类别</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合计</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w:t>
            </w:r>
            <w:r>
              <w:rPr>
                <w:rStyle w:val="13"/>
                <w:rFonts w:eastAsia="宋体"/>
                <w:lang w:val="en-US" w:eastAsia="zh-CN" w:bidi="ar"/>
              </w:rPr>
              <w:t xml:space="preserve"> </w:t>
            </w:r>
            <w:r>
              <w:rPr>
                <w:rStyle w:val="14"/>
                <w:lang w:val="en-US" w:eastAsia="zh-CN" w:bidi="ar"/>
              </w:rPr>
              <w:t>期</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零售基础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商品拍摄与素材编辑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视觉设计与制作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网络推广实务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直播销售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直播运营实务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推销技巧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网上创业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电子商务数据分析（含1+X证书）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办公综合运用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心理活动课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硬笔书法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军训（周）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spacing w:line="360" w:lineRule="auto"/>
        <w:ind w:firstLine="480" w:firstLineChars="200"/>
        <w:rPr>
          <w:rFonts w:hint="default" w:ascii="宋体" w:hAnsi="宋体" w:eastAsia="宋体" w:cs="宋体"/>
          <w:sz w:val="24"/>
          <w:szCs w:val="24"/>
          <w:lang w:val="en-US" w:eastAsia="zh-CN"/>
        </w:rPr>
      </w:pPr>
      <w:bookmarkStart w:id="31" w:name="_Toc4167"/>
      <w:r>
        <w:rPr>
          <w:rFonts w:hint="eastAsia" w:ascii="宋体" w:hAnsi="宋体" w:eastAsia="宋体" w:cs="宋体"/>
          <w:sz w:val="24"/>
          <w:szCs w:val="24"/>
          <w:lang w:val="en-US" w:eastAsia="zh-CN"/>
        </w:rPr>
        <w:t>1.实践活动包括职业素养、劳动教育、社会实践、综合实训等。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2.1+X 证书融通课程开设在《直播运营实务》《网店运营》课程中，学生任选其一考取证书。</w:t>
      </w:r>
      <w:r>
        <w:rPr>
          <w:rFonts w:hint="eastAsia" w:ascii="宋体" w:hAnsi="宋体" w:eastAsia="宋体" w:cs="宋体"/>
          <w:sz w:val="24"/>
          <w:szCs w:val="24"/>
          <w:lang w:val="en-US" w:eastAsia="zh-CN"/>
        </w:rPr>
        <w:br w:type="page"/>
      </w:r>
    </w:p>
    <w:p>
      <w:pPr>
        <w:pStyle w:val="3"/>
        <w:keepNext/>
        <w:keepLines/>
        <w:pageBreakBefore w:val="0"/>
        <w:widowControl w:val="0"/>
        <w:kinsoku/>
        <w:wordWrap/>
        <w:overflowPunct/>
        <w:topLinePunct w:val="0"/>
        <w:autoSpaceDE/>
        <w:autoSpaceDN/>
        <w:bidi w:val="0"/>
        <w:adjustRightInd/>
        <w:snapToGrid/>
        <w:spacing w:line="240" w:lineRule="auto"/>
        <w:textAlignment w:val="auto"/>
        <w:rPr>
          <w:b/>
        </w:rPr>
      </w:pPr>
      <w:bookmarkStart w:id="32" w:name="_Toc16715"/>
      <w:r>
        <w:rPr>
          <w:rFonts w:hint="eastAsia"/>
          <w:b/>
          <w:lang w:val="en-US" w:eastAsia="zh-CN"/>
        </w:rPr>
        <w:t>（二）</w:t>
      </w:r>
      <w:r>
        <w:rPr>
          <w:b/>
        </w:rPr>
        <w:t>教学实践安排</w:t>
      </w:r>
      <w:bookmarkEnd w:id="32"/>
    </w:p>
    <w:tbl>
      <w:tblPr>
        <w:tblStyle w:val="8"/>
        <w:tblW w:w="100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040"/>
        <w:gridCol w:w="2170"/>
        <w:gridCol w:w="1040"/>
        <w:gridCol w:w="2593"/>
        <w:gridCol w:w="1580"/>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教学时间</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实践类别</w:t>
            </w:r>
          </w:p>
        </w:tc>
        <w:tc>
          <w:tcPr>
            <w:tcW w:w="217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教学内容</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教学单位</w:t>
            </w:r>
          </w:p>
        </w:tc>
        <w:tc>
          <w:tcPr>
            <w:tcW w:w="2593"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教学目标</w:t>
            </w:r>
          </w:p>
        </w:tc>
        <w:tc>
          <w:tcPr>
            <w:tcW w:w="1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教学考核</w:t>
            </w:r>
          </w:p>
        </w:tc>
        <w:tc>
          <w:tcPr>
            <w:tcW w:w="631"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国防知识教育、装备知识介绍、时事政治学习、条例教育（含队列、分列式、阅兵式）、拉练、内务整理等。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本地部队</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 过 组 织 学 生 军训， 提高中职学生的国防观念和国家安全意识，增强学生的组织纪律观念 ，培养艰苦奋斗、吃苦耐劳的作风，掌握基本军事 知识和技能，进行素质培养。</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心得体会；思想汇报；队列队形考核；阅兵式考核；内务整理考核。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认知实习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为师生及客人进行礼仪服务；参加校办文秘、图书、实作室管理等辅助性工作；参加维护校园秩序、卫生和安全的工作等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结合现代服务业行业管理要求，培养学生的劳动意识和劳动技能，强化服务意识； 养成艰 苦朴素的作风。</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礼仪礼貌；劳动态度；劳动考核；团结协作；综合评价。</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认识实习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网店客服市场调查网络推广网店运营物流配送。</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进入企业学习网店客服、市场调查、网络推广、网店运营、物流配送等相关知识， 了解岗位 能力需求。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项目实训</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网上创业项目电子商务综合实训项目网 店 运 营 推 广 项目</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校内实训基地</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训练学生创新创业能力。</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创业成果考证</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顶岗实习</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（一）熟悉所在企业岗位的工作要 求 和 工 作 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（二）独立完成 岗位工作。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（三）独立完成实习单位布置的其他各项工作。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合作企业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用企业的标准规范学生的言行，以适应企 业和岗位的需求。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企业考核学校考核</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spacing w:line="360" w:lineRule="auto"/>
        <w:ind w:left="0" w:leftChars="0" w:firstLine="0" w:firstLineChars="0"/>
        <w:rPr>
          <w:rFonts w:hint="default" w:eastAsia="宋体"/>
          <w:lang w:val="en-US" w:eastAsia="zh-CN"/>
        </w:rPr>
      </w:pPr>
    </w:p>
    <w:p>
      <w:pPr>
        <w:pStyle w:val="2"/>
        <w:numPr>
          <w:ilvl w:val="0"/>
          <w:numId w:val="2"/>
        </w:numPr>
        <w:spacing w:before="28" w:line="240" w:lineRule="auto"/>
        <w:ind w:left="100" w:right="0"/>
        <w:jc w:val="left"/>
        <w:outlineLvl w:val="0"/>
      </w:pPr>
      <w:bookmarkStart w:id="33" w:name="_Toc30523"/>
      <w:r>
        <w:t>实施保障</w:t>
      </w:r>
      <w:bookmarkEnd w:id="31"/>
      <w:bookmarkEnd w:id="33"/>
    </w:p>
    <w:p>
      <w:pPr>
        <w:pStyle w:val="3"/>
        <w:spacing w:before="194" w:line="240" w:lineRule="auto"/>
        <w:ind w:left="400" w:right="0"/>
        <w:jc w:val="both"/>
        <w:outlineLvl w:val="1"/>
        <w:rPr>
          <w:b w:val="0"/>
          <w:bCs w:val="0"/>
        </w:rPr>
      </w:pPr>
      <w:bookmarkStart w:id="34" w:name="（一）师资队伍"/>
      <w:bookmarkEnd w:id="34"/>
      <w:bookmarkStart w:id="35" w:name="_Toc21778"/>
      <w:bookmarkStart w:id="36" w:name="_Toc13907"/>
      <w:r>
        <w:rPr>
          <w:spacing w:val="-1"/>
        </w:rPr>
        <w:t>（一）师资队伍</w:t>
      </w:r>
      <w:bookmarkEnd w:id="35"/>
      <w:bookmarkEnd w:id="36"/>
    </w:p>
    <w:p>
      <w:pPr>
        <w:spacing w:before="174"/>
        <w:ind w:left="440" w:leftChars="0" w:right="0" w:firstLine="0" w:firstLineChars="0"/>
        <w:jc w:val="left"/>
        <w:outlineLvl w:val="2"/>
        <w:rPr>
          <w:rFonts w:ascii="黑体" w:hAnsi="黑体" w:eastAsia="黑体" w:cs="黑体"/>
          <w:sz w:val="30"/>
          <w:szCs w:val="30"/>
        </w:rPr>
      </w:pPr>
      <w:bookmarkStart w:id="37" w:name="1.队伍结构"/>
      <w:bookmarkEnd w:id="37"/>
      <w:bookmarkStart w:id="38" w:name="_Toc18244"/>
      <w:bookmarkStart w:id="39" w:name="_Toc19708"/>
      <w:r>
        <w:rPr>
          <w:rFonts w:ascii="黑体" w:hAnsi="黑体" w:eastAsia="黑体" w:cs="黑体"/>
          <w:b/>
          <w:bCs/>
          <w:sz w:val="30"/>
          <w:szCs w:val="30"/>
        </w:rPr>
        <w:t>1.队伍结构</w:t>
      </w:r>
      <w:bookmarkEnd w:id="38"/>
      <w:bookmarkEnd w:id="39"/>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根据教育部《中等职业学校教师专业标准》和《中等职业学 校设置标准》的有关规定，进行队伍建设，合理配置教师资源；现有专任教师8 人，专业学历职称结构合理，其中硕士学历2名，正高级教师1名；具有相关专业中级以上专业技术职务的专任教师4名；积极 建立“双师型 ”团队，“双师型 ”教师比例达 80%，并且聘有企业兼任教师 2 人。</w:t>
      </w:r>
    </w:p>
    <w:p>
      <w:pPr>
        <w:spacing w:line="360" w:lineRule="auto"/>
        <w:jc w:val="center"/>
        <w:rPr>
          <w:rFonts w:asciiTheme="minorEastAsia" w:hAnsiTheme="minorEastAsia" w:cstheme="minorEastAsia"/>
          <w:b/>
          <w:color w:val="auto"/>
          <w:sz w:val="24"/>
          <w:szCs w:val="24"/>
        </w:rPr>
      </w:pPr>
      <w:r>
        <w:rPr>
          <w:rFonts w:hint="eastAsia" w:asciiTheme="minorEastAsia" w:hAnsiTheme="minorEastAsia" w:cstheme="minorEastAsia"/>
          <w:b/>
          <w:color w:val="auto"/>
          <w:sz w:val="24"/>
          <w:szCs w:val="24"/>
        </w:rPr>
        <w:t>专业师资队伍名单</w:t>
      </w:r>
    </w:p>
    <w:p>
      <w:pPr>
        <w:spacing w:line="360" w:lineRule="auto"/>
        <w:ind w:left="0" w:leftChars="0" w:firstLine="0" w:firstLineChars="0"/>
        <w:jc w:val="both"/>
        <w:rPr>
          <w:rFonts w:hint="eastAsia" w:asciiTheme="minorEastAsia" w:hAnsiTheme="minorEastAsia" w:cstheme="minorEastAsia"/>
          <w:color w:val="auto"/>
          <w:sz w:val="24"/>
          <w:szCs w:val="24"/>
        </w:rPr>
      </w:pPr>
      <w:r>
        <w:rPr>
          <w:color w:val="auto"/>
          <w:szCs w:val="21"/>
        </w:rPr>
        <w:drawing>
          <wp:inline distT="0" distB="0" distL="0" distR="0">
            <wp:extent cx="5513070" cy="2819400"/>
            <wp:effectExtent l="9525" t="9525" r="1460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l="1689" t="24766" r="34530" b="17227"/>
                    <a:stretch>
                      <a:fillRect/>
                    </a:stretch>
                  </pic:blipFill>
                  <pic:spPr>
                    <a:xfrm>
                      <a:off x="0" y="0"/>
                      <a:ext cx="5513070" cy="2819400"/>
                    </a:xfrm>
                    <a:prstGeom prst="rect">
                      <a:avLst/>
                    </a:prstGeom>
                    <a:ln>
                      <a:solidFill>
                        <a:schemeClr val="tx1"/>
                      </a:solidFill>
                      <a:prstDash val="sysDot"/>
                    </a:ln>
                  </pic:spPr>
                </pic:pic>
              </a:graphicData>
            </a:graphic>
          </wp:inline>
        </w:drawing>
      </w:r>
    </w:p>
    <w:p>
      <w:pPr>
        <w:pStyle w:val="3"/>
        <w:numPr>
          <w:ilvl w:val="0"/>
          <w:numId w:val="3"/>
        </w:numPr>
        <w:tabs>
          <w:tab w:val="left" w:pos="440"/>
        </w:tabs>
        <w:spacing w:before="145" w:line="240" w:lineRule="auto"/>
        <w:ind w:left="440" w:leftChars="0" w:right="0" w:firstLine="0" w:firstLineChars="0"/>
        <w:jc w:val="left"/>
        <w:outlineLvl w:val="2"/>
        <w:rPr>
          <w:spacing w:val="-1"/>
        </w:rPr>
      </w:pPr>
      <w:bookmarkStart w:id="40" w:name="_Toc5877"/>
      <w:bookmarkStart w:id="41" w:name="_Toc267"/>
      <w:r>
        <w:rPr>
          <w:spacing w:val="-1"/>
        </w:rPr>
        <w:t>专任教师</w:t>
      </w:r>
      <w:bookmarkEnd w:id="40"/>
      <w:bookmarkEnd w:id="41"/>
    </w:p>
    <w:p>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eastAsiaTheme="minorHAnsi" w:cstheme="minorEastAsia"/>
          <w:b w:val="0"/>
          <w:color w:val="auto"/>
          <w:sz w:val="24"/>
          <w:szCs w:val="24"/>
          <w:lang w:val="en-US" w:eastAsia="en-US" w:bidi="ar-SA"/>
        </w:rPr>
        <w:t>本专业专任教师师德高尚，综合素质高，无违纪违法行为，年度师德师风考评均为优秀。专业教师理论教学能力和实践教学能力较强，能合理运用现代化教 学手段，积极探索教学方法和手段创新，近 3 年来多次获得各级荣誉称号并参赛获奖。</w:t>
      </w:r>
      <w:r>
        <w:rPr>
          <w:rFonts w:hint="eastAsia" w:asciiTheme="minorEastAsia" w:hAnsiTheme="minorEastAsia" w:cstheme="minorEastAsia"/>
          <w:color w:val="auto"/>
          <w:sz w:val="24"/>
          <w:szCs w:val="24"/>
        </w:rPr>
        <w:t>专任教师应具有良好的师德和扎实的专业知识；具备与专业密切相关的中级及以上的职业资格，对本专业课程有全面的了解，有企业工作经验或实践经力，能把握专业前沿知识与技术，及时更新专业知识，加强实践能力的提升，具备教学设计和实施能力。</w:t>
      </w:r>
    </w:p>
    <w:p>
      <w:pPr>
        <w:pStyle w:val="3"/>
        <w:spacing w:before="28" w:line="240" w:lineRule="auto"/>
        <w:ind w:left="440" w:leftChars="0" w:right="0" w:firstLine="0" w:firstLineChars="0"/>
        <w:jc w:val="left"/>
        <w:outlineLvl w:val="2"/>
        <w:rPr>
          <w:b w:val="0"/>
          <w:bCs w:val="0"/>
        </w:rPr>
      </w:pPr>
      <w:bookmarkStart w:id="42" w:name="_Toc6343"/>
      <w:bookmarkStart w:id="43" w:name="_Toc1385"/>
      <w:r>
        <w:rPr>
          <w:spacing w:val="-1"/>
        </w:rPr>
        <w:t>3.兼职教师</w:t>
      </w:r>
      <w:bookmarkEnd w:id="42"/>
      <w:bookmarkEnd w:id="43"/>
    </w:p>
    <w:p>
      <w:pPr>
        <w:spacing w:line="360" w:lineRule="auto"/>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从行业企业聘请技术骨干或管理人员作为兼职教师，企业兼职教师参与到教学课程和教学设计中，把企业的新技术、新思路、新的管理理念等引入到教学实践过程中，对教学中存在的问题及时进行总结和反思。</w:t>
      </w:r>
    </w:p>
    <w:p>
      <w:pPr>
        <w:pStyle w:val="3"/>
        <w:spacing w:line="240" w:lineRule="auto"/>
        <w:ind w:left="180" w:right="0"/>
        <w:jc w:val="left"/>
        <w:outlineLvl w:val="1"/>
        <w:rPr>
          <w:b w:val="0"/>
          <w:bCs w:val="0"/>
        </w:rPr>
      </w:pPr>
      <w:bookmarkStart w:id="44" w:name="_Toc5967"/>
      <w:bookmarkStart w:id="45" w:name="_Toc31454"/>
      <w:r>
        <w:rPr>
          <w:spacing w:val="-1"/>
        </w:rPr>
        <w:t>（二）教学设施</w:t>
      </w:r>
      <w:bookmarkEnd w:id="44"/>
      <w:bookmarkEnd w:id="45"/>
    </w:p>
    <w:p>
      <w:pPr>
        <w:pStyle w:val="3"/>
        <w:numPr>
          <w:ilvl w:val="0"/>
          <w:numId w:val="0"/>
        </w:numPr>
        <w:spacing w:before="145" w:line="360" w:lineRule="auto"/>
        <w:ind w:right="0" w:rightChars="0" w:firstLine="480" w:firstLineChars="200"/>
        <w:jc w:val="left"/>
        <w:rPr>
          <w:rFonts w:hint="eastAsia" w:asciiTheme="minorEastAsia" w:hAnsiTheme="minorEastAsia" w:eastAsiaTheme="minorHAnsi" w:cstheme="minorEastAsia"/>
          <w:b w:val="0"/>
          <w:color w:val="auto"/>
          <w:sz w:val="24"/>
          <w:szCs w:val="24"/>
          <w:lang w:val="en-US" w:eastAsia="en-US" w:bidi="ar-SA"/>
        </w:rPr>
      </w:pPr>
      <w:bookmarkStart w:id="46" w:name="_Toc19372"/>
      <w:r>
        <w:rPr>
          <w:rFonts w:hint="eastAsia" w:asciiTheme="minorEastAsia" w:hAnsiTheme="minorEastAsia" w:eastAsiaTheme="minorHAnsi" w:cstheme="minorEastAsia"/>
          <w:b w:val="0"/>
          <w:color w:val="auto"/>
          <w:sz w:val="24"/>
          <w:szCs w:val="24"/>
          <w:lang w:val="en-US" w:eastAsia="en-US" w:bidi="ar-SA"/>
        </w:rPr>
        <w:t>为确保本专业实验、实训、实习课程的顺利实施，需建设一批稳定的校内外 实践教学基地，本专业应配备校内实训实习室和校外实习基地如下：</w:t>
      </w:r>
      <w:bookmarkEnd w:id="46"/>
    </w:p>
    <w:p>
      <w:pPr>
        <w:pStyle w:val="3"/>
        <w:spacing w:before="28" w:line="240" w:lineRule="auto"/>
        <w:ind w:left="440" w:leftChars="0" w:right="0" w:firstLine="0" w:firstLineChars="0"/>
        <w:jc w:val="left"/>
        <w:outlineLvl w:val="2"/>
        <w:rPr>
          <w:rFonts w:hint="eastAsia"/>
          <w:spacing w:val="-1"/>
          <w:lang w:val="en-US" w:eastAsia="en-US"/>
        </w:rPr>
      </w:pPr>
      <w:bookmarkStart w:id="47" w:name="_Toc10981"/>
      <w:bookmarkStart w:id="48" w:name="_Toc9797"/>
      <w:r>
        <w:rPr>
          <w:rFonts w:hint="eastAsia"/>
          <w:spacing w:val="-1"/>
          <w:lang w:val="en-US" w:eastAsia="en-US"/>
        </w:rPr>
        <w:t>1.校内实训室</w:t>
      </w:r>
      <w:bookmarkEnd w:id="47"/>
      <w:bookmarkEnd w:id="48"/>
    </w:p>
    <w:p>
      <w:pPr>
        <w:pStyle w:val="3"/>
        <w:numPr>
          <w:ilvl w:val="0"/>
          <w:numId w:val="0"/>
        </w:numPr>
        <w:spacing w:before="145" w:line="360" w:lineRule="auto"/>
        <w:ind w:right="0" w:rightChars="0" w:firstLine="480" w:firstLineChars="200"/>
        <w:jc w:val="left"/>
        <w:rPr>
          <w:rFonts w:hint="eastAsia" w:asciiTheme="minorEastAsia" w:hAnsiTheme="minorEastAsia" w:eastAsiaTheme="minorHAnsi" w:cstheme="minorEastAsia"/>
          <w:b w:val="0"/>
          <w:color w:val="auto"/>
          <w:sz w:val="24"/>
          <w:szCs w:val="24"/>
          <w:lang w:val="en-US" w:eastAsia="en-US" w:bidi="ar-SA"/>
        </w:rPr>
      </w:pPr>
      <w:bookmarkStart w:id="49" w:name="_Toc13243"/>
      <w:r>
        <w:rPr>
          <w:rFonts w:hint="eastAsia" w:asciiTheme="minorEastAsia" w:hAnsiTheme="minorEastAsia" w:eastAsiaTheme="minorHAnsi" w:cstheme="minorEastAsia"/>
          <w:b w:val="0"/>
          <w:color w:val="auto"/>
          <w:sz w:val="24"/>
          <w:szCs w:val="24"/>
          <w:lang w:val="en-US" w:eastAsia="en-US" w:bidi="ar-SA"/>
        </w:rPr>
        <w:t>本专业应配备客户服务综合实训室、移动商务实训室、直播电商实训室、创 新创业实训室、无人超市，主要设施设备及数量见下表。</w:t>
      </w:r>
      <w:bookmarkEnd w:id="49"/>
    </w:p>
    <w:tbl>
      <w:tblPr>
        <w:tblStyle w:val="8"/>
        <w:tblW w:w="9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183"/>
        <w:gridCol w:w="1862"/>
        <w:gridCol w:w="1040"/>
        <w:gridCol w:w="1040"/>
        <w:gridCol w:w="1040"/>
        <w:gridCol w:w="958"/>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实（验）训室 名称</w:t>
            </w:r>
          </w:p>
        </w:tc>
        <w:tc>
          <w:tcPr>
            <w:tcW w:w="5940" w:type="dxa"/>
            <w:gridSpan w:val="5"/>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主要设备</w:t>
            </w:r>
          </w:p>
        </w:tc>
        <w:tc>
          <w:tcPr>
            <w:tcW w:w="1040" w:type="dxa"/>
            <w:vMerge w:val="restart"/>
            <w:tcBorders>
              <w:top w:val="single" w:color="000000" w:sz="4" w:space="0"/>
              <w:left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 训工位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设备单价（元）</w:t>
            </w:r>
          </w:p>
        </w:tc>
        <w:tc>
          <w:tcPr>
            <w:tcW w:w="104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购置日期</w:t>
            </w:r>
          </w:p>
        </w:tc>
        <w:tc>
          <w:tcPr>
            <w:tcW w:w="95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设备状况</w:t>
            </w:r>
          </w:p>
        </w:tc>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创业实践基 地</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O2O 展厅</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B2C 商城</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电子商务商品、展示厅柜</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批</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学生创业工作室</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间</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摄影棚</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佳能 60D、70D 摄影相机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SONY 数码相机</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闪光灯</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套</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柔光灯箱</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套</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静物展台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个</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 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美工实训室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 M4500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 台</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图形、视频处理系列软件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移动电商创 业实训室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IPAD</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网络营销软件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众创工作室</w:t>
            </w: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启天 M4500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 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电子商务模拟软件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跨境电子商务软件</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套</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3"/>
        <w:spacing w:before="28" w:line="240" w:lineRule="auto"/>
        <w:ind w:left="440" w:leftChars="0" w:right="0" w:firstLine="0" w:firstLineChars="0"/>
        <w:jc w:val="left"/>
        <w:outlineLvl w:val="2"/>
        <w:rPr>
          <w:rFonts w:hint="eastAsia"/>
          <w:spacing w:val="-1"/>
          <w:lang w:val="en-US" w:eastAsia="en-US"/>
        </w:rPr>
      </w:pPr>
      <w:bookmarkStart w:id="50" w:name="_Toc4969"/>
      <w:bookmarkStart w:id="51" w:name="_Toc1647"/>
      <w:r>
        <w:rPr>
          <w:rFonts w:hint="eastAsia"/>
          <w:spacing w:val="-1"/>
          <w:lang w:val="en-US" w:eastAsia="zh-CN"/>
        </w:rPr>
        <w:t>2.</w:t>
      </w:r>
      <w:r>
        <w:rPr>
          <w:rFonts w:hint="eastAsia"/>
          <w:spacing w:val="-1"/>
          <w:lang w:val="en-US" w:eastAsia="en-US"/>
        </w:rPr>
        <w:t>校外实训实习基地</w:t>
      </w:r>
      <w:bookmarkEnd w:id="50"/>
      <w:bookmarkEnd w:id="51"/>
    </w:p>
    <w:p>
      <w:pPr>
        <w:spacing w:line="360" w:lineRule="auto"/>
        <w:ind w:firstLine="480" w:firstLineChars="200"/>
        <w:rPr>
          <w:rFonts w:hint="eastAsia"/>
          <w:sz w:val="24"/>
          <w:szCs w:val="24"/>
          <w:lang w:val="en-US" w:eastAsia="en-US"/>
        </w:rPr>
      </w:pPr>
      <w:r>
        <w:rPr>
          <w:rFonts w:hint="eastAsia"/>
          <w:sz w:val="24"/>
          <w:szCs w:val="24"/>
          <w:lang w:val="en-US" w:eastAsia="en-US"/>
        </w:rPr>
        <w:t>根据电子商务专业人才培养需要和产业技术发展特点，应在企业建立两类校 外实训基地：一类是以专业认识和参观为主的实训基地，能够反映目前电子商务 行业发展新模式、新技术，并能同时接纳较多学生学习，为新生入学教育和认识 专业课程教学提供条件；另一类是以社会实践及学生顶岗实习为主的实训地， 能够为学生提供真实专业技能方向综合实践轮岗训练的工作岗位，并能保证有效 工作实践，该基地能根据培养目标要求和实践教学内容，校企合作共同制定实习 计划和教学大纲，精心编排教学设计并组织、管理教学过程。</w:t>
      </w:r>
    </w:p>
    <w:tbl>
      <w:tblPr>
        <w:tblStyle w:val="8"/>
        <w:tblW w:w="6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3098"/>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09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实训基地名称</w:t>
            </w:r>
          </w:p>
        </w:tc>
        <w:tc>
          <w:tcPr>
            <w:tcW w:w="242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XX科技有限公司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XX信息技术有限公司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认识实习、跟岗实习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XX信息有限公司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认识实习、跟岗实习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XX世纪贸易有限公司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XX在线旅游发展有限公司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XX信息技术有限公司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跟岗实习、顶岗实习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XX农业科技有限公司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跟岗实习、顶岗实习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XX电子商务有限公司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认识实习、顶岗实习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XX商务有限公司</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跟岗实习、顶岗实习</w:t>
            </w:r>
          </w:p>
        </w:tc>
      </w:tr>
    </w:tbl>
    <w:p>
      <w:pPr>
        <w:rPr>
          <w:rFonts w:hint="eastAsia"/>
          <w:lang w:val="en-US" w:eastAsia="en-US"/>
        </w:rPr>
      </w:pPr>
    </w:p>
    <w:p>
      <w:pPr>
        <w:pStyle w:val="3"/>
        <w:spacing w:before="14" w:line="240" w:lineRule="auto"/>
        <w:ind w:left="280" w:right="0"/>
        <w:jc w:val="left"/>
        <w:outlineLvl w:val="1"/>
        <w:rPr>
          <w:b w:val="0"/>
          <w:bCs w:val="0"/>
        </w:rPr>
      </w:pPr>
      <w:bookmarkStart w:id="52" w:name="_Toc31933"/>
      <w:bookmarkStart w:id="53" w:name="_Toc28098"/>
      <w:r>
        <w:rPr>
          <w:spacing w:val="-1"/>
        </w:rPr>
        <w:t>（三）教学资源</w:t>
      </w:r>
      <w:bookmarkEnd w:id="52"/>
      <w:bookmarkEnd w:id="53"/>
    </w:p>
    <w:p>
      <w:pPr>
        <w:pStyle w:val="3"/>
        <w:numPr>
          <w:ilvl w:val="0"/>
          <w:numId w:val="0"/>
        </w:numPr>
        <w:spacing w:before="145" w:line="360" w:lineRule="auto"/>
        <w:ind w:left="440" w:leftChars="0" w:right="0" w:rightChars="0" w:firstLine="480" w:firstLineChars="200"/>
        <w:jc w:val="left"/>
        <w:rPr>
          <w:rFonts w:hint="eastAsia" w:asciiTheme="minorHAnsi" w:hAnsiTheme="minorHAnsi" w:eastAsiaTheme="minorHAnsi" w:cstheme="minorBidi"/>
          <w:b w:val="0"/>
          <w:sz w:val="24"/>
          <w:szCs w:val="24"/>
          <w:lang w:val="en-US" w:eastAsia="en-US" w:bidi="ar-SA"/>
        </w:rPr>
      </w:pPr>
      <w:bookmarkStart w:id="54" w:name="_Toc728"/>
      <w:r>
        <w:rPr>
          <w:rFonts w:hint="eastAsia" w:asciiTheme="minorHAnsi" w:hAnsiTheme="minorHAnsi" w:eastAsiaTheme="minorHAnsi" w:cstheme="minorBidi"/>
          <w:b w:val="0"/>
          <w:sz w:val="24"/>
          <w:szCs w:val="24"/>
          <w:lang w:val="en-US" w:eastAsia="en-US" w:bidi="ar-SA"/>
        </w:rPr>
        <w:t>主要包括能够满足学生专业学习、教师专业教学研究和教学实施需要的教材、 图书及数字化资源等。</w:t>
      </w:r>
      <w:bookmarkEnd w:id="54"/>
    </w:p>
    <w:p>
      <w:pPr>
        <w:spacing w:before="28" w:line="360" w:lineRule="auto"/>
        <w:ind w:left="440" w:leftChars="0" w:right="0" w:firstLine="0" w:firstLineChars="0"/>
        <w:jc w:val="left"/>
        <w:outlineLvl w:val="2"/>
        <w:rPr>
          <w:rFonts w:ascii="黑体" w:hAnsi="黑体" w:eastAsia="黑体" w:cs="黑体"/>
          <w:sz w:val="28"/>
          <w:szCs w:val="28"/>
        </w:rPr>
      </w:pPr>
      <w:bookmarkStart w:id="55" w:name="_Toc21377"/>
      <w:bookmarkStart w:id="56" w:name="_Toc22701"/>
      <w:r>
        <w:rPr>
          <w:rFonts w:ascii="黑体" w:hAnsi="黑体" w:eastAsia="黑体" w:cs="黑体"/>
          <w:b/>
          <w:bCs/>
          <w:spacing w:val="-1"/>
          <w:sz w:val="28"/>
          <w:szCs w:val="28"/>
        </w:rPr>
        <w:t>1.教材选用及使用要求</w:t>
      </w:r>
      <w:bookmarkEnd w:id="55"/>
      <w:bookmarkEnd w:id="56"/>
    </w:p>
    <w:p>
      <w:pPr>
        <w:spacing w:line="360" w:lineRule="auto"/>
        <w:ind w:firstLine="440" w:firstLineChars="200"/>
        <w:rPr>
          <w:rFonts w:hint="eastAsia"/>
        </w:rPr>
      </w:pPr>
      <w:r>
        <w:rPr>
          <w:rFonts w:hint="eastAsia"/>
        </w:rPr>
        <w:t>针对专业及学生的特点，按程序选用教材，分析目前专业发展现状，合理选 择与课程目标相符合、充分体现任务引领、实践导向，选用新技术、新工艺、新 规范等的国规教材，同时积极开发与行业接轨，适合本专业发展需求的校本教材 以达到专业课程目标要求与行业岗位需求的无缝对接和教材内容的高度切合。</w:t>
      </w:r>
    </w:p>
    <w:p>
      <w:pPr>
        <w:pStyle w:val="3"/>
        <w:spacing w:before="28" w:line="240" w:lineRule="auto"/>
        <w:ind w:left="440" w:leftChars="0" w:right="0" w:firstLine="0" w:firstLineChars="0"/>
        <w:jc w:val="left"/>
        <w:outlineLvl w:val="2"/>
        <w:rPr>
          <w:spacing w:val="-1"/>
        </w:rPr>
      </w:pPr>
      <w:bookmarkStart w:id="57" w:name="_Toc30094"/>
      <w:bookmarkStart w:id="58" w:name="_Toc21360"/>
      <w:r>
        <w:rPr>
          <w:spacing w:val="-1"/>
        </w:rPr>
        <w:t>2.图书资料配备要求</w:t>
      </w:r>
      <w:bookmarkEnd w:id="57"/>
      <w:bookmarkEnd w:id="58"/>
    </w:p>
    <w:p>
      <w:pPr>
        <w:pStyle w:val="3"/>
        <w:spacing w:before="28" w:line="360" w:lineRule="auto"/>
        <w:ind w:right="0" w:firstLine="440" w:firstLineChars="200"/>
        <w:jc w:val="left"/>
        <w:rPr>
          <w:rFonts w:hint="eastAsia" w:asciiTheme="minorHAnsi" w:hAnsiTheme="minorHAnsi" w:eastAsiaTheme="minorHAnsi" w:cstheme="minorBidi"/>
          <w:b w:val="0"/>
          <w:sz w:val="22"/>
          <w:szCs w:val="22"/>
          <w:lang w:val="en-US" w:eastAsia="en-US" w:bidi="ar-SA"/>
        </w:rPr>
      </w:pPr>
      <w:bookmarkStart w:id="59" w:name="_Toc4183"/>
      <w:r>
        <w:rPr>
          <w:rFonts w:hint="eastAsia" w:asciiTheme="minorHAnsi" w:hAnsiTheme="minorHAnsi" w:eastAsiaTheme="minorHAnsi" w:cstheme="minorBidi"/>
          <w:b w:val="0"/>
          <w:sz w:val="22"/>
          <w:szCs w:val="22"/>
          <w:lang w:val="en-US" w:eastAsia="en-US" w:bidi="ar-SA"/>
        </w:rPr>
        <w:t>根据专业教育、教学和科研工作的需要，购买供师生使用的工具书、教学参 考书、教育教学研究理论书籍和应用型专业书籍，为师生提供与专业相关的文献 信息检索查询、专业学习和课外阅读等。</w:t>
      </w:r>
      <w:bookmarkEnd w:id="59"/>
    </w:p>
    <w:p>
      <w:pPr>
        <w:pStyle w:val="3"/>
        <w:numPr>
          <w:ilvl w:val="0"/>
          <w:numId w:val="3"/>
        </w:numPr>
        <w:spacing w:line="360" w:lineRule="auto"/>
        <w:ind w:left="440" w:leftChars="0" w:right="0" w:firstLine="0" w:firstLineChars="0"/>
        <w:jc w:val="left"/>
        <w:outlineLvl w:val="2"/>
        <w:rPr>
          <w:spacing w:val="-1"/>
        </w:rPr>
      </w:pPr>
      <w:bookmarkStart w:id="60" w:name="_Toc11326"/>
      <w:bookmarkStart w:id="61" w:name="_Toc25142"/>
      <w:r>
        <w:rPr>
          <w:spacing w:val="-1"/>
        </w:rPr>
        <w:t>数字资源配备要求</w:t>
      </w:r>
      <w:bookmarkEnd w:id="60"/>
      <w:bookmarkEnd w:id="61"/>
    </w:p>
    <w:p>
      <w:pPr>
        <w:pStyle w:val="3"/>
        <w:spacing w:before="28" w:line="360" w:lineRule="auto"/>
        <w:ind w:right="0" w:firstLine="440" w:firstLineChars="200"/>
        <w:jc w:val="left"/>
        <w:rPr>
          <w:rFonts w:hint="eastAsia" w:asciiTheme="minorHAnsi" w:hAnsiTheme="minorHAnsi" w:eastAsiaTheme="minorHAnsi" w:cstheme="minorBidi"/>
          <w:b w:val="0"/>
          <w:sz w:val="22"/>
          <w:szCs w:val="22"/>
          <w:lang w:val="en-US" w:eastAsia="en-US" w:bidi="ar-SA"/>
        </w:rPr>
      </w:pPr>
      <w:bookmarkStart w:id="62" w:name="_Toc4640"/>
      <w:r>
        <w:rPr>
          <w:rFonts w:hint="eastAsia" w:asciiTheme="minorHAnsi" w:hAnsiTheme="minorHAnsi" w:eastAsiaTheme="minorHAnsi" w:cstheme="minorBidi"/>
          <w:b w:val="0"/>
          <w:sz w:val="22"/>
          <w:szCs w:val="22"/>
          <w:lang w:val="en-US" w:eastAsia="en-US" w:bidi="ar-SA"/>
        </w:rPr>
        <w:t>结合专业发展的需求和行业要求，在“商学结合”，“项目实战”的理念指 导下，建设本专业的课程数字资源库，所有资源的建设都围绕行业需求和实战项 目展开。案例资源库以项目资源库为主，充分满足专业主要岗位实训项目需求。</w:t>
      </w:r>
      <w:bookmarkEnd w:id="62"/>
    </w:p>
    <w:p>
      <w:pPr>
        <w:pStyle w:val="3"/>
        <w:spacing w:line="240" w:lineRule="auto"/>
        <w:ind w:left="280" w:right="0"/>
        <w:jc w:val="left"/>
        <w:outlineLvl w:val="1"/>
        <w:rPr>
          <w:b w:val="0"/>
          <w:bCs w:val="0"/>
        </w:rPr>
      </w:pPr>
      <w:bookmarkStart w:id="63" w:name="_Toc24422"/>
      <w:bookmarkStart w:id="64" w:name="_Toc32196"/>
      <w:r>
        <w:rPr>
          <w:spacing w:val="-1"/>
        </w:rPr>
        <w:t>（四）教学方法</w:t>
      </w:r>
      <w:bookmarkEnd w:id="63"/>
      <w:bookmarkEnd w:id="64"/>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65" w:name="_Toc14276"/>
      <w:r>
        <w:rPr>
          <w:rFonts w:hint="eastAsia" w:asciiTheme="minorEastAsia" w:hAnsiTheme="minorEastAsia" w:eastAsiaTheme="minorEastAsia" w:cstheme="minorEastAsia"/>
          <w:b w:val="0"/>
          <w:sz w:val="24"/>
          <w:szCs w:val="24"/>
          <w:lang w:val="en-US" w:eastAsia="en-US" w:bidi="ar-SA"/>
        </w:rPr>
        <w:t>公共基础课教学要符合教育部有关教育教学基本要求，按照培养学生基本科 学文化素养、服务学生专业学习和终身发展的功能来定位，重在教学方法、教学 组织形式的改革，教学手段、教学模式的创新，调动学生学习积极性，为学生综 合素质的提高、职业能力的形成和可持续发展奠定基础。</w:t>
      </w:r>
      <w:bookmarkEnd w:id="65"/>
    </w:p>
    <w:p>
      <w:pPr>
        <w:spacing w:line="360" w:lineRule="auto"/>
        <w:ind w:firstLine="480" w:firstLineChars="200"/>
        <w:rPr>
          <w:rFonts w:hint="eastAsia"/>
          <w:lang w:val="en-US" w:eastAsia="en-US"/>
        </w:rPr>
      </w:pPr>
      <w:r>
        <w:rPr>
          <w:rFonts w:hint="eastAsia" w:asciiTheme="minorEastAsia" w:hAnsiTheme="minorEastAsia" w:eastAsiaTheme="minorEastAsia" w:cstheme="minorEastAsia"/>
          <w:b w:val="0"/>
          <w:sz w:val="24"/>
          <w:szCs w:val="24"/>
          <w:lang w:val="en-US" w:eastAsia="en-US" w:bidi="ar-SA"/>
        </w:rPr>
        <w:t>专业课坚持商学结合、双创育人人才培养模式，按照相应职业岗位（群）的 能力要求，强化理论实践一体化，突出“做中学、创中学”的职业教育教学特色 提倡项目教学、案例教学、任务教学、角色扮演、情境教学等方法，利用校内外 实训基地，将学生的自主学习、合作学习和教师引导教学等教学组织形式有机结 合。</w:t>
      </w:r>
    </w:p>
    <w:p>
      <w:pPr>
        <w:pStyle w:val="3"/>
        <w:spacing w:line="240" w:lineRule="auto"/>
        <w:ind w:left="280" w:right="0"/>
        <w:jc w:val="left"/>
        <w:outlineLvl w:val="1"/>
        <w:rPr>
          <w:rFonts w:hint="eastAsia"/>
          <w:spacing w:val="-1"/>
          <w:lang w:val="en-US" w:eastAsia="en-US"/>
        </w:rPr>
      </w:pPr>
      <w:bookmarkStart w:id="66" w:name="_Toc30538"/>
      <w:r>
        <w:rPr>
          <w:rFonts w:hint="eastAsia"/>
          <w:spacing w:val="-1"/>
          <w:lang w:val="en-US" w:eastAsia="en-US"/>
        </w:rPr>
        <w:t>（五）学习评价</w:t>
      </w:r>
      <w:bookmarkEnd w:id="66"/>
    </w:p>
    <w:p>
      <w:pPr>
        <w:spacing w:line="360" w:lineRule="auto"/>
        <w:ind w:firstLine="480" w:firstLineChars="200"/>
        <w:rPr>
          <w:rFonts w:hint="eastAsia"/>
          <w:sz w:val="24"/>
          <w:szCs w:val="24"/>
          <w:lang w:val="en-US" w:eastAsia="en-US"/>
        </w:rPr>
      </w:pPr>
      <w:r>
        <w:rPr>
          <w:rFonts w:hint="eastAsia"/>
          <w:sz w:val="24"/>
          <w:szCs w:val="24"/>
          <w:lang w:val="en-US" w:eastAsia="en-US"/>
        </w:rPr>
        <w:t>根据本专业培养目标和以人为本的发展理念，建立科学的评价标准。教学评 价应体现评价主体、评价方式、评价过程的多元化，注意吸收家长、行业企业参 与。校内校外评价结合，职业技能鉴定与学业考核结合，教师评价、学生互评与 自我评价结合。过程性评价与结果性评价结合，不仅关注学生对知识的理解和技 能的掌握，更要关注知识在实践中运用与解决实际问题的能力水平，重视规范操 作、安全文明生产等职业素质的形成，以及节约能源、节省原材料与爱护生产设 备，保护环境等意识与观念的树立。应将上述要求，结合本专业实际予以具体化。</w:t>
      </w:r>
    </w:p>
    <w:p>
      <w:pPr>
        <w:pStyle w:val="3"/>
        <w:spacing w:line="360" w:lineRule="auto"/>
        <w:ind w:left="280" w:right="0"/>
        <w:jc w:val="left"/>
        <w:outlineLvl w:val="1"/>
        <w:rPr>
          <w:rFonts w:hint="eastAsia"/>
          <w:spacing w:val="-1"/>
          <w:lang w:val="en-US" w:eastAsia="en-US"/>
        </w:rPr>
      </w:pPr>
      <w:bookmarkStart w:id="67" w:name="_Toc845"/>
      <w:r>
        <w:rPr>
          <w:rFonts w:hint="eastAsia"/>
          <w:spacing w:val="-1"/>
          <w:lang w:val="en-US" w:eastAsia="en-US"/>
        </w:rPr>
        <w:t>（六）质量管理</w:t>
      </w:r>
      <w:bookmarkEnd w:id="67"/>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68" w:name="_Toc21044"/>
      <w:r>
        <w:rPr>
          <w:rFonts w:hint="eastAsia" w:asciiTheme="minorEastAsia" w:hAnsiTheme="minorEastAsia" w:eastAsiaTheme="minorEastAsia" w:cstheme="minorEastAsia"/>
          <w:b w:val="0"/>
          <w:sz w:val="24"/>
          <w:szCs w:val="24"/>
          <w:lang w:val="en-US" w:eastAsia="en-US" w:bidi="ar-SA"/>
        </w:rPr>
        <w:t>健全专业教学和教学质量诊断与改进机制，完善专业教学质量监控管理制度。 完善教学管理机制，加强日常教学组织运行与管理，建立健全巡课、听课、评教 评学等制度，定期开展公开课、示范课等教研活动。完善毕业生跟踪反馈机制及社会评价机制。</w:t>
      </w:r>
      <w:bookmarkEnd w:id="68"/>
    </w:p>
    <w:p>
      <w:pPr>
        <w:pStyle w:val="2"/>
        <w:numPr>
          <w:ilvl w:val="0"/>
          <w:numId w:val="2"/>
        </w:numPr>
        <w:spacing w:before="28" w:line="240" w:lineRule="auto"/>
        <w:ind w:left="100" w:right="0"/>
        <w:jc w:val="left"/>
        <w:outlineLvl w:val="0"/>
        <w:rPr>
          <w:rFonts w:hint="eastAsia"/>
          <w:lang w:val="en-US" w:eastAsia="en-US"/>
        </w:rPr>
      </w:pPr>
      <w:bookmarkStart w:id="69" w:name="_Toc21658"/>
      <w:r>
        <w:rPr>
          <w:rFonts w:hint="eastAsia"/>
          <w:lang w:val="en-US" w:eastAsia="en-US"/>
        </w:rPr>
        <w:t>毕业要求</w:t>
      </w:r>
      <w:bookmarkEnd w:id="69"/>
    </w:p>
    <w:p>
      <w:pPr>
        <w:pStyle w:val="3"/>
        <w:spacing w:line="240" w:lineRule="auto"/>
        <w:ind w:left="280" w:right="0"/>
        <w:jc w:val="left"/>
        <w:outlineLvl w:val="1"/>
        <w:rPr>
          <w:rFonts w:hint="eastAsia"/>
          <w:spacing w:val="-1"/>
          <w:lang w:val="en-US" w:eastAsia="en-US"/>
        </w:rPr>
      </w:pPr>
      <w:bookmarkStart w:id="70" w:name="_Toc26693"/>
      <w:r>
        <w:rPr>
          <w:rFonts w:hint="eastAsia"/>
          <w:spacing w:val="-1"/>
          <w:lang w:val="en-US" w:eastAsia="en-US"/>
        </w:rPr>
        <w:t>（一）可选考的证书</w:t>
      </w:r>
      <w:bookmarkEnd w:id="70"/>
    </w:p>
    <w:p>
      <w:pPr>
        <w:pStyle w:val="3"/>
        <w:spacing w:before="28" w:line="360" w:lineRule="auto"/>
        <w:ind w:right="0" w:firstLine="480" w:firstLineChars="200"/>
        <w:jc w:val="left"/>
        <w:rPr>
          <w:rFonts w:hint="eastAsia" w:asciiTheme="minorEastAsia" w:hAnsiTheme="minorEastAsia" w:eastAsiaTheme="minorEastAsia" w:cstheme="minorEastAsia"/>
          <w:b w:val="0"/>
          <w:sz w:val="24"/>
          <w:szCs w:val="24"/>
          <w:lang w:val="en-US" w:eastAsia="en-US" w:bidi="ar-SA"/>
        </w:rPr>
      </w:pPr>
      <w:bookmarkStart w:id="71" w:name="_Toc25635"/>
      <w:r>
        <w:rPr>
          <w:rFonts w:hint="eastAsia" w:asciiTheme="minorEastAsia" w:hAnsiTheme="minorEastAsia" w:eastAsiaTheme="minorEastAsia" w:cstheme="minorEastAsia"/>
          <w:b w:val="0"/>
          <w:sz w:val="24"/>
          <w:szCs w:val="24"/>
          <w:lang w:val="en-US" w:eastAsia="en-US" w:bidi="ar-SA"/>
        </w:rPr>
        <w:t>网店运营推广（初级）1+X 证书、直播电商（初级）1+X 证书、电子商务数 据分析（初级）1+X 证书、普通话。</w:t>
      </w:r>
      <w:bookmarkEnd w:id="71"/>
    </w:p>
    <w:p>
      <w:pPr>
        <w:pStyle w:val="3"/>
        <w:spacing w:line="240" w:lineRule="auto"/>
        <w:ind w:left="280" w:right="0"/>
        <w:jc w:val="left"/>
        <w:outlineLvl w:val="1"/>
        <w:rPr>
          <w:rFonts w:hint="eastAsia"/>
          <w:spacing w:val="-1"/>
          <w:lang w:val="en-US" w:eastAsia="en-US"/>
        </w:rPr>
      </w:pPr>
      <w:bookmarkStart w:id="72" w:name="_Toc30109"/>
      <w:r>
        <w:rPr>
          <w:rFonts w:hint="eastAsia"/>
          <w:spacing w:val="-1"/>
          <w:lang w:val="en-US" w:eastAsia="en-US"/>
        </w:rPr>
        <w:t>（二）学业达标要求</w:t>
      </w:r>
      <w:bookmarkEnd w:id="72"/>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73" w:name="_Toc29922"/>
      <w:r>
        <w:rPr>
          <w:rFonts w:hint="eastAsia" w:asciiTheme="minorEastAsia" w:hAnsiTheme="minorEastAsia" w:eastAsiaTheme="minorEastAsia" w:cstheme="minorEastAsia"/>
          <w:b w:val="0"/>
          <w:sz w:val="24"/>
          <w:szCs w:val="24"/>
          <w:lang w:val="en-US" w:eastAsia="en-US" w:bidi="ar-SA"/>
        </w:rPr>
        <w:t>1.无纪律处分，思想品德等方面达到学校学籍管理规定（试行）》毕业要求；</w:t>
      </w:r>
      <w:bookmarkEnd w:id="73"/>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74" w:name="_Toc21287"/>
      <w:r>
        <w:rPr>
          <w:rFonts w:hint="eastAsia" w:asciiTheme="minorEastAsia" w:hAnsiTheme="minorEastAsia" w:eastAsiaTheme="minorEastAsia" w:cstheme="minorEastAsia"/>
          <w:b w:val="0"/>
          <w:sz w:val="24"/>
          <w:szCs w:val="24"/>
          <w:lang w:val="en-US" w:eastAsia="en-US" w:bidi="ar-SA"/>
        </w:rPr>
        <w:t>2.文化课结业考试合格；</w:t>
      </w:r>
      <w:bookmarkEnd w:id="74"/>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75" w:name="_Toc32396"/>
      <w:r>
        <w:rPr>
          <w:rFonts w:hint="eastAsia" w:asciiTheme="minorEastAsia" w:hAnsiTheme="minorEastAsia" w:eastAsiaTheme="minorEastAsia" w:cstheme="minorEastAsia"/>
          <w:b w:val="0"/>
          <w:sz w:val="24"/>
          <w:szCs w:val="24"/>
          <w:lang w:val="en-US" w:eastAsia="en-US" w:bidi="ar-SA"/>
        </w:rPr>
        <w:t>3.专业课结业考试合格；</w:t>
      </w:r>
      <w:bookmarkEnd w:id="75"/>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zh-CN" w:bidi="ar-SA"/>
        </w:rPr>
      </w:pPr>
      <w:bookmarkStart w:id="76" w:name="_Toc23153"/>
      <w:r>
        <w:rPr>
          <w:rFonts w:hint="eastAsia" w:asciiTheme="minorEastAsia" w:hAnsiTheme="minorEastAsia" w:eastAsiaTheme="minorEastAsia" w:cstheme="minorEastAsia"/>
          <w:b w:val="0"/>
          <w:sz w:val="24"/>
          <w:szCs w:val="24"/>
          <w:lang w:val="en-US" w:eastAsia="en-US" w:bidi="ar-SA"/>
        </w:rPr>
        <w:t>4.按要求完成校内外行业实践和实习，并考核合格</w:t>
      </w:r>
      <w:r>
        <w:rPr>
          <w:rFonts w:hint="eastAsia" w:asciiTheme="minorEastAsia" w:hAnsiTheme="minorEastAsia" w:eastAsiaTheme="minorEastAsia" w:cstheme="minorEastAsia"/>
          <w:b w:val="0"/>
          <w:sz w:val="24"/>
          <w:szCs w:val="24"/>
          <w:lang w:val="en-US" w:eastAsia="zh-CN" w:bidi="ar-SA"/>
        </w:rPr>
        <w:t>；</w:t>
      </w:r>
      <w:bookmarkEnd w:id="76"/>
    </w:p>
    <w:p>
      <w:pPr>
        <w:pStyle w:val="3"/>
        <w:spacing w:before="28" w:line="360" w:lineRule="auto"/>
        <w:ind w:right="0" w:firstLine="480" w:firstLineChars="200"/>
        <w:jc w:val="left"/>
        <w:outlineLvl w:val="2"/>
        <w:rPr>
          <w:rFonts w:hint="eastAsia" w:asciiTheme="minorEastAsia" w:hAnsiTheme="minorEastAsia" w:eastAsiaTheme="minorEastAsia" w:cstheme="minorEastAsia"/>
          <w:b w:val="0"/>
          <w:sz w:val="24"/>
          <w:szCs w:val="24"/>
          <w:lang w:val="en-US" w:eastAsia="en-US" w:bidi="ar-SA"/>
        </w:rPr>
      </w:pPr>
      <w:bookmarkStart w:id="77" w:name="_Toc23161"/>
      <w:r>
        <w:rPr>
          <w:rFonts w:hint="eastAsia" w:asciiTheme="minorEastAsia" w:hAnsiTheme="minorEastAsia" w:eastAsiaTheme="minorEastAsia" w:cstheme="minorEastAsia"/>
          <w:b w:val="0"/>
          <w:sz w:val="24"/>
          <w:szCs w:val="24"/>
          <w:lang w:val="en-US" w:eastAsia="en-US" w:bidi="ar-SA"/>
        </w:rPr>
        <w:t>5.职业素养要求：具有良好的职业意识和职业操守，注重商务礼仪。</w:t>
      </w:r>
      <w:bookmarkEnd w:id="77"/>
    </w:p>
    <w:p>
      <w:pPr>
        <w:pStyle w:val="2"/>
        <w:spacing w:before="0" w:line="240" w:lineRule="auto"/>
        <w:ind w:left="100" w:right="0"/>
        <w:jc w:val="left"/>
        <w:outlineLvl w:val="0"/>
        <w:rPr>
          <w:b w:val="0"/>
          <w:bCs w:val="0"/>
        </w:rPr>
      </w:pPr>
      <w:bookmarkStart w:id="78" w:name="_Toc24593"/>
      <w:bookmarkStart w:id="79" w:name="_Toc21864"/>
      <w:r>
        <w:t>十、附录</w:t>
      </w:r>
      <w:bookmarkEnd w:id="78"/>
      <w:bookmarkEnd w:id="79"/>
    </w:p>
    <w:p>
      <w:pPr>
        <w:pStyle w:val="3"/>
        <w:spacing w:line="360" w:lineRule="auto"/>
        <w:ind w:left="280" w:right="0"/>
        <w:jc w:val="left"/>
        <w:outlineLvl w:val="1"/>
        <w:rPr>
          <w:rFonts w:hint="eastAsia"/>
          <w:spacing w:val="-1"/>
          <w:lang w:val="en-US" w:eastAsia="en-US"/>
        </w:rPr>
      </w:pPr>
      <w:bookmarkStart w:id="80" w:name="_Toc4338"/>
      <w:bookmarkStart w:id="81" w:name="_Toc31330"/>
      <w:r>
        <w:rPr>
          <w:rFonts w:hint="eastAsia"/>
          <w:spacing w:val="-1"/>
          <w:lang w:val="en-US" w:eastAsia="en-US"/>
        </w:rPr>
        <w:t>（一）附件1：专业教学进程安排表</w:t>
      </w:r>
      <w:bookmarkEnd w:id="80"/>
      <w:bookmarkEnd w:id="81"/>
    </w:p>
    <w:tbl>
      <w:tblPr>
        <w:tblStyle w:val="8"/>
        <w:tblW w:w="97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677"/>
        <w:gridCol w:w="936"/>
        <w:gridCol w:w="737"/>
        <w:gridCol w:w="746"/>
        <w:gridCol w:w="588"/>
        <w:gridCol w:w="579"/>
        <w:gridCol w:w="579"/>
        <w:gridCol w:w="579"/>
        <w:gridCol w:w="579"/>
        <w:gridCol w:w="580"/>
        <w:gridCol w:w="692"/>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类别</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名称</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性质</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合计</w:t>
            </w:r>
          </w:p>
        </w:tc>
        <w:tc>
          <w:tcPr>
            <w:tcW w:w="3484" w:type="dxa"/>
            <w:gridSpan w:val="6"/>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w:t>
            </w:r>
            <w:r>
              <w:rPr>
                <w:rStyle w:val="13"/>
                <w:rFonts w:eastAsia="宋体"/>
                <w:lang w:val="en-US" w:eastAsia="zh-CN" w:bidi="ar"/>
              </w:rPr>
              <w:t xml:space="preserve"> </w:t>
            </w:r>
            <w:r>
              <w:rPr>
                <w:rStyle w:val="14"/>
                <w:lang w:val="en-US" w:eastAsia="zh-CN" w:bidi="ar"/>
              </w:rPr>
              <w:t>期</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方式</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课时</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579"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580" w:type="dxa"/>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4874CB" w:themeFill="accent1"/>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共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商业礼仪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市场营销基础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零售基础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商品拍摄与素材编辑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视觉设计与制作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网络推广实务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直播销售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直播运营实务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商业美术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推销技巧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消费心理学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网上创业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电子商务数据分析（含1+X证书）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办公综合运用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管理学原理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移动商务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心理活动课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硬笔书法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8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限定选修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军训（周）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入学教育（周）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0.5周</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等线" w:hAnsi="等线" w:eastAsia="等线" w:cs="等线"/>
                <w:i w:val="0"/>
                <w:iCs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r>
    </w:tbl>
    <w:p>
      <w:pPr>
        <w:rPr>
          <w:rFonts w:hint="eastAsia"/>
        </w:rPr>
      </w:pPr>
      <w:r>
        <w:rPr>
          <w:rFonts w:hint="eastAsia"/>
        </w:rPr>
        <w:br w:type="page"/>
      </w:r>
    </w:p>
    <w:p>
      <w:pPr>
        <w:pStyle w:val="3"/>
        <w:spacing w:line="360" w:lineRule="auto"/>
        <w:ind w:left="280" w:right="0"/>
        <w:jc w:val="left"/>
        <w:outlineLvl w:val="1"/>
        <w:rPr>
          <w:rFonts w:hint="eastAsia"/>
          <w:spacing w:val="-1"/>
          <w:lang w:val="en-US" w:eastAsia="en-US"/>
        </w:rPr>
      </w:pPr>
      <w:bookmarkStart w:id="82" w:name="_Toc16643"/>
      <w:r>
        <w:rPr>
          <w:rFonts w:hint="eastAsia"/>
          <w:spacing w:val="-1"/>
          <w:lang w:val="en-US" w:eastAsia="en-US"/>
        </w:rPr>
        <w:t>（</w:t>
      </w:r>
      <w:r>
        <w:rPr>
          <w:rFonts w:hint="eastAsia"/>
          <w:spacing w:val="-1"/>
          <w:lang w:val="en-US" w:eastAsia="zh-CN"/>
        </w:rPr>
        <w:t>二</w:t>
      </w:r>
      <w:r>
        <w:rPr>
          <w:rFonts w:hint="eastAsia"/>
          <w:spacing w:val="-1"/>
          <w:lang w:val="en-US" w:eastAsia="en-US"/>
        </w:rPr>
        <w:t>）</w:t>
      </w:r>
      <w:r>
        <w:rPr>
          <w:spacing w:val="-1"/>
        </w:rPr>
        <w:t>附件2：教学计划变更审批表</w:t>
      </w:r>
      <w:bookmarkEnd w:id="82"/>
    </w:p>
    <w:tbl>
      <w:tblPr>
        <w:tblStyle w:val="8"/>
        <w:tblW w:w="11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2172"/>
        <w:gridCol w:w="1460"/>
        <w:gridCol w:w="1040"/>
        <w:gridCol w:w="1920"/>
        <w:gridCol w:w="1040"/>
        <w:gridCol w:w="2130"/>
        <w:gridCol w:w="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53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专业名称</w:t>
            </w:r>
          </w:p>
        </w:tc>
        <w:tc>
          <w:tcPr>
            <w:tcW w:w="4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电子商务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专业代码</w:t>
            </w: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730701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4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年级</w:t>
            </w:r>
          </w:p>
        </w:tc>
        <w:tc>
          <w:tcPr>
            <w:tcW w:w="4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学制</w:t>
            </w: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68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学时总数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开课学期</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变更状态</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（增加或撤销）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600" w:hRule="atLeast"/>
          <w:jc w:val="center"/>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原计划</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商品拍摄与图片处理</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4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网店美工</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专业核心课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54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网络营销</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680" w:hRule="atLeast"/>
          <w:jc w:val="center"/>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调整后计划</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商品拍摄与素材编辑</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专业基础课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调整课程名称及内容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6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视觉设计与制作</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调整课程名称及内容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8" w:type="dxa"/>
          <w:trHeight w:val="6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网络推广实务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调整课程名称及内容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 w:type="dxa"/>
          <w:trHeight w:val="6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直播运营实务</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变更理由</w:t>
            </w:r>
          </w:p>
        </w:tc>
        <w:tc>
          <w:tcPr>
            <w:tcW w:w="985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根据中等职业教育电子商务类专业简介（2022年修订）调整了课程类型为专业基 础课、专业核心课和专业拓展课；将商品拍摄与图片处理、网店美工、网络营销修改 为商品拍摄与素材编辑、视觉设计与制作、网络推广实务；同时，根据中等职业教育 电子商务类专业简介（2022年修订）、人才培养需求及岗位变化新增直播运营实务课程。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5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专业部审核</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专业负责人签字：                                              </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年       </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月        </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教务处审核 意见</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教务主任签字：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分管副校长 审核意见</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签字：</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学校党组织 审核意见</w:t>
            </w:r>
          </w:p>
        </w:tc>
        <w:tc>
          <w:tcPr>
            <w:tcW w:w="98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书记（校长）签字：                                              年        月         日</w:t>
            </w:r>
          </w:p>
        </w:tc>
      </w:tr>
    </w:tbl>
    <w:p>
      <w:pPr>
        <w:spacing w:line="360" w:lineRule="auto"/>
        <w:ind w:firstLine="440" w:firstLineChars="200"/>
        <w:rPr>
          <w:rFonts w:hint="eastAsia"/>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DXBS--GBK1-0">
    <w:altName w:val="Cambria"/>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6E283"/>
    <w:multiLevelType w:val="singleLevel"/>
    <w:tmpl w:val="A476E283"/>
    <w:lvl w:ilvl="0" w:tentative="0">
      <w:start w:val="7"/>
      <w:numFmt w:val="chineseCounting"/>
      <w:suff w:val="nothing"/>
      <w:lvlText w:val="%1、"/>
      <w:lvlJc w:val="left"/>
      <w:rPr>
        <w:rFonts w:hint="eastAsia"/>
      </w:rPr>
    </w:lvl>
  </w:abstractNum>
  <w:abstractNum w:abstractNumId="1">
    <w:nsid w:val="072B9815"/>
    <w:multiLevelType w:val="singleLevel"/>
    <w:tmpl w:val="072B9815"/>
    <w:lvl w:ilvl="0" w:tentative="0">
      <w:start w:val="8"/>
      <w:numFmt w:val="chineseCounting"/>
      <w:suff w:val="nothing"/>
      <w:lvlText w:val="%1、"/>
      <w:lvlJc w:val="left"/>
      <w:rPr>
        <w:rFonts w:hint="eastAsia"/>
      </w:rPr>
    </w:lvl>
  </w:abstractNum>
  <w:abstractNum w:abstractNumId="2">
    <w:nsid w:val="6C667E30"/>
    <w:multiLevelType w:val="singleLevel"/>
    <w:tmpl w:val="6C667E30"/>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YjE3MWQ1ZDllMTA3NDE4OTVkMTMzODYwY2UxYWQifQ=="/>
  </w:docVars>
  <w:rsids>
    <w:rsidRoot w:val="00000000"/>
    <w:rsid w:val="02747742"/>
    <w:rsid w:val="03C26A48"/>
    <w:rsid w:val="04993158"/>
    <w:rsid w:val="06EE29A2"/>
    <w:rsid w:val="08F34EF9"/>
    <w:rsid w:val="095B6432"/>
    <w:rsid w:val="0BB45FFE"/>
    <w:rsid w:val="0F516F37"/>
    <w:rsid w:val="14A92FBF"/>
    <w:rsid w:val="15EA702B"/>
    <w:rsid w:val="19752E0B"/>
    <w:rsid w:val="1DA84FD8"/>
    <w:rsid w:val="1E7D5CD6"/>
    <w:rsid w:val="21D358FF"/>
    <w:rsid w:val="28FC0955"/>
    <w:rsid w:val="35D00DF7"/>
    <w:rsid w:val="3DC1342A"/>
    <w:rsid w:val="476D7A53"/>
    <w:rsid w:val="4CC425A4"/>
    <w:rsid w:val="4CEB7DFE"/>
    <w:rsid w:val="5AB250B9"/>
    <w:rsid w:val="608C751D"/>
    <w:rsid w:val="6860372F"/>
    <w:rsid w:val="6A2854A1"/>
    <w:rsid w:val="6AB11BD4"/>
    <w:rsid w:val="7125618F"/>
    <w:rsid w:val="7662302B"/>
    <w:rsid w:val="76970E1E"/>
    <w:rsid w:val="7886567B"/>
    <w:rsid w:val="7C946702"/>
    <w:rsid w:val="7D20578D"/>
    <w:rsid w:val="7EC1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qFormat/>
    <w:uiPriority w:val="1"/>
    <w:pPr>
      <w:spacing w:before="144"/>
      <w:ind w:left="140"/>
      <w:outlineLvl w:val="1"/>
    </w:pPr>
    <w:rPr>
      <w:rFonts w:ascii="黑体" w:hAnsi="黑体" w:eastAsia="黑体"/>
      <w:b/>
      <w:bCs/>
      <w:sz w:val="30"/>
      <w:szCs w:val="30"/>
    </w:rPr>
  </w:style>
  <w:style w:type="paragraph" w:styleId="3">
    <w:name w:val="heading 2"/>
    <w:basedOn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qFormat/>
    <w:uiPriority w:val="1"/>
    <w:pPr>
      <w:ind w:left="740"/>
      <w:outlineLvl w:val="3"/>
    </w:pPr>
    <w:rPr>
      <w:rFonts w:ascii="宋体" w:hAnsi="宋体" w:eastAsia="宋体"/>
      <w:b/>
      <w:bCs/>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184"/>
      <w:ind w:left="104" w:firstLine="480"/>
    </w:pPr>
    <w:rPr>
      <w:rFonts w:ascii="宋体" w:hAnsi="宋体" w:eastAsia="宋体"/>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style>
  <w:style w:type="character" w:customStyle="1" w:styleId="11">
    <w:name w:val="font11"/>
    <w:basedOn w:val="9"/>
    <w:qFormat/>
    <w:uiPriority w:val="0"/>
    <w:rPr>
      <w:rFonts w:hint="eastAsia" w:ascii="宋体" w:hAnsi="宋体" w:eastAsia="宋体" w:cs="宋体"/>
      <w:color w:val="000000"/>
      <w:sz w:val="21"/>
      <w:szCs w:val="21"/>
      <w:u w:val="none"/>
    </w:rPr>
  </w:style>
  <w:style w:type="character" w:customStyle="1" w:styleId="12">
    <w:name w:val="font21"/>
    <w:basedOn w:val="9"/>
    <w:qFormat/>
    <w:uiPriority w:val="0"/>
    <w:rPr>
      <w:rFonts w:hint="eastAsia" w:ascii="宋体" w:hAnsi="宋体" w:eastAsia="宋体" w:cs="宋体"/>
      <w:color w:val="000000"/>
      <w:sz w:val="21"/>
      <w:szCs w:val="21"/>
      <w:u w:val="none"/>
    </w:rPr>
  </w:style>
  <w:style w:type="character" w:customStyle="1" w:styleId="13">
    <w:name w:val="font61"/>
    <w:basedOn w:val="9"/>
    <w:qFormat/>
    <w:uiPriority w:val="0"/>
    <w:rPr>
      <w:rFonts w:ascii="Arial" w:hAnsi="Arial" w:cs="Arial"/>
      <w:b/>
      <w:bCs/>
      <w:color w:val="000000"/>
      <w:sz w:val="18"/>
      <w:szCs w:val="18"/>
      <w:u w:val="none"/>
    </w:rPr>
  </w:style>
  <w:style w:type="character" w:customStyle="1" w:styleId="14">
    <w:name w:val="font31"/>
    <w:basedOn w:val="9"/>
    <w:qFormat/>
    <w:uiPriority w:val="0"/>
    <w:rPr>
      <w:rFonts w:hint="eastAsia" w:ascii="宋体" w:hAnsi="宋体" w:eastAsia="宋体" w:cs="宋体"/>
      <w:b/>
      <w:bCs/>
      <w:color w:val="000000"/>
      <w:sz w:val="18"/>
      <w:szCs w:val="18"/>
      <w:u w:val="non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13426</Words>
  <Characters>13977</Characters>
  <Lines>0</Lines>
  <Paragraphs>0</Paragraphs>
  <TotalTime>0</TotalTime>
  <ScaleCrop>false</ScaleCrop>
  <LinksUpToDate>false</LinksUpToDate>
  <CharactersWithSpaces>14643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陈韫</cp:lastModifiedBy>
  <dcterms:modified xsi:type="dcterms:W3CDTF">2024-06-18T04:55:01Z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7F244D2E59314FB7B5896A72A4025D54_13</vt:lpwstr>
  </property>
</Properties>
</file>